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3.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4.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5.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6.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7.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2E2" w:rsidRDefault="00DA3827" w:rsidP="00D06110">
      <w:pPr>
        <w:pBdr>
          <w:bottom w:val="single" w:sz="12" w:space="1" w:color="auto"/>
        </w:pBdr>
        <w:spacing w:after="0"/>
        <w:ind w:left="1440"/>
        <w:jc w:val="right"/>
        <w:rPr>
          <w:b/>
          <w:color w:val="0070C0"/>
          <w:sz w:val="32"/>
          <w:szCs w:val="32"/>
        </w:rPr>
      </w:pPr>
      <w:bookmarkStart w:id="0" w:name="_GoBack"/>
      <w:bookmarkEnd w:id="0"/>
      <w:r w:rsidRPr="001B64D2">
        <w:rPr>
          <w:b/>
          <w:color w:val="0070C0"/>
          <w:sz w:val="32"/>
          <w:szCs w:val="32"/>
        </w:rPr>
        <w:t>FLOR</w:t>
      </w:r>
      <w:r w:rsidR="008872E2">
        <w:rPr>
          <w:b/>
          <w:color w:val="0070C0"/>
          <w:sz w:val="32"/>
          <w:szCs w:val="32"/>
        </w:rPr>
        <w:t>IDA CHILDREN AND YOUTH CABINET</w:t>
      </w:r>
    </w:p>
    <w:p w:rsidR="00D16BBE" w:rsidRPr="004953F7" w:rsidRDefault="0010111C" w:rsidP="00D06110">
      <w:pPr>
        <w:pBdr>
          <w:bottom w:val="single" w:sz="12" w:space="1" w:color="auto"/>
        </w:pBdr>
        <w:spacing w:after="0"/>
        <w:ind w:left="1440"/>
        <w:jc w:val="right"/>
        <w:rPr>
          <w:b/>
          <w:color w:val="0070C0"/>
          <w:sz w:val="32"/>
          <w:szCs w:val="32"/>
        </w:rPr>
      </w:pPr>
      <w:r w:rsidRPr="004953F7">
        <w:rPr>
          <w:b/>
          <w:color w:val="0070C0"/>
          <w:sz w:val="32"/>
          <w:szCs w:val="32"/>
        </w:rPr>
        <w:t xml:space="preserve">13 </w:t>
      </w:r>
      <w:r w:rsidR="009154BA" w:rsidRPr="004953F7">
        <w:rPr>
          <w:b/>
          <w:color w:val="0070C0"/>
          <w:sz w:val="32"/>
          <w:szCs w:val="32"/>
        </w:rPr>
        <w:t>HEADLINE INDICATORS ON CHILD WELL-BEING</w:t>
      </w:r>
      <w:r w:rsidR="004953F7">
        <w:rPr>
          <w:b/>
          <w:color w:val="0070C0"/>
          <w:sz w:val="32"/>
          <w:szCs w:val="32"/>
        </w:rPr>
        <w:t>: STATUS ON TURNING THE CURVE</w:t>
      </w:r>
    </w:p>
    <w:p w:rsidR="0052186C" w:rsidRDefault="0052186C" w:rsidP="008A16B0">
      <w:pPr>
        <w:rPr>
          <w:b/>
          <w:sz w:val="24"/>
          <w:szCs w:val="24"/>
        </w:rPr>
      </w:pPr>
    </w:p>
    <w:p w:rsidR="00BF5F09" w:rsidRPr="00921808" w:rsidRDefault="00D06110" w:rsidP="00921808">
      <w:pPr>
        <w:ind w:left="1440"/>
        <w:rPr>
          <w:b/>
          <w:sz w:val="24"/>
          <w:szCs w:val="24"/>
        </w:rPr>
      </w:pPr>
      <w:r>
        <w:rPr>
          <w:b/>
          <w:sz w:val="24"/>
          <w:szCs w:val="24"/>
        </w:rPr>
        <w:t>SUMMARY</w:t>
      </w:r>
    </w:p>
    <w:p w:rsidR="008A16B0" w:rsidRPr="00921808" w:rsidRDefault="008A16B0" w:rsidP="00390A9D">
      <w:pPr>
        <w:ind w:left="1440"/>
        <w:rPr>
          <w:b/>
          <w:sz w:val="24"/>
          <w:szCs w:val="24"/>
        </w:rPr>
      </w:pPr>
      <w:r w:rsidRPr="00921808">
        <w:rPr>
          <w:b/>
          <w:sz w:val="24"/>
          <w:szCs w:val="24"/>
        </w:rPr>
        <w:t>Indicators turning the curve and showing improvement</w:t>
      </w:r>
      <w:r w:rsidR="00D06110">
        <w:rPr>
          <w:b/>
          <w:sz w:val="24"/>
          <w:szCs w:val="24"/>
        </w:rPr>
        <w:t>:</w:t>
      </w:r>
    </w:p>
    <w:p w:rsidR="008A16B0" w:rsidRPr="00921808" w:rsidRDefault="008A16B0" w:rsidP="00390A9D">
      <w:pPr>
        <w:pStyle w:val="ListParagraph"/>
        <w:numPr>
          <w:ilvl w:val="0"/>
          <w:numId w:val="1"/>
        </w:numPr>
        <w:ind w:left="2160"/>
        <w:rPr>
          <w:rFonts w:asciiTheme="minorHAnsi" w:hAnsiTheme="minorHAnsi"/>
          <w:b/>
          <w:color w:val="0070C0"/>
        </w:rPr>
      </w:pPr>
      <w:r w:rsidRPr="00921808">
        <w:rPr>
          <w:rFonts w:asciiTheme="minorHAnsi" w:hAnsiTheme="minorHAnsi"/>
          <w:b/>
          <w:color w:val="0070C0"/>
        </w:rPr>
        <w:t>Birth to women with fewer than 12 years of education</w:t>
      </w:r>
    </w:p>
    <w:p w:rsidR="008A16B0" w:rsidRPr="00921808" w:rsidRDefault="008A16B0" w:rsidP="00390A9D">
      <w:pPr>
        <w:pStyle w:val="ListParagraph"/>
        <w:numPr>
          <w:ilvl w:val="0"/>
          <w:numId w:val="1"/>
        </w:numPr>
        <w:ind w:left="2160"/>
        <w:rPr>
          <w:rFonts w:asciiTheme="minorHAnsi" w:hAnsiTheme="minorHAnsi"/>
          <w:b/>
          <w:color w:val="0070C0"/>
        </w:rPr>
      </w:pPr>
      <w:r w:rsidRPr="00921808">
        <w:rPr>
          <w:rFonts w:asciiTheme="minorHAnsi" w:hAnsiTheme="minorHAnsi"/>
          <w:b/>
          <w:color w:val="0070C0"/>
        </w:rPr>
        <w:t>Teen births</w:t>
      </w:r>
    </w:p>
    <w:p w:rsidR="00BF5F09" w:rsidRDefault="008A16B0" w:rsidP="0050354F">
      <w:pPr>
        <w:pStyle w:val="ListParagraph"/>
        <w:numPr>
          <w:ilvl w:val="0"/>
          <w:numId w:val="1"/>
        </w:numPr>
        <w:ind w:left="2160"/>
        <w:rPr>
          <w:rFonts w:asciiTheme="minorHAnsi" w:hAnsiTheme="minorHAnsi"/>
          <w:b/>
          <w:color w:val="0070C0"/>
        </w:rPr>
      </w:pPr>
      <w:r w:rsidRPr="00921808">
        <w:rPr>
          <w:rFonts w:asciiTheme="minorHAnsi" w:hAnsiTheme="minorHAnsi"/>
          <w:b/>
          <w:color w:val="0070C0"/>
        </w:rPr>
        <w:t>Domestic violence</w:t>
      </w:r>
    </w:p>
    <w:p w:rsidR="00921808" w:rsidRPr="00921808" w:rsidRDefault="00921808" w:rsidP="00921808">
      <w:pPr>
        <w:pStyle w:val="ListParagraph"/>
        <w:ind w:left="2160"/>
        <w:rPr>
          <w:rFonts w:asciiTheme="minorHAnsi" w:hAnsiTheme="minorHAnsi"/>
          <w:b/>
          <w:color w:val="0070C0"/>
        </w:rPr>
      </w:pPr>
    </w:p>
    <w:p w:rsidR="00BF5F09" w:rsidRPr="00921808" w:rsidRDefault="00BF5F09" w:rsidP="00390A9D">
      <w:pPr>
        <w:ind w:left="1440"/>
        <w:rPr>
          <w:b/>
          <w:color w:val="000000" w:themeColor="text1"/>
          <w:sz w:val="24"/>
          <w:szCs w:val="24"/>
        </w:rPr>
      </w:pPr>
      <w:r w:rsidRPr="00921808">
        <w:rPr>
          <w:b/>
          <w:color w:val="000000" w:themeColor="text1"/>
          <w:sz w:val="24"/>
          <w:szCs w:val="24"/>
        </w:rPr>
        <w:t>Indicators showing little or no change:</w:t>
      </w:r>
    </w:p>
    <w:p w:rsidR="00BF5F09" w:rsidRPr="00921808" w:rsidRDefault="00BF5F09" w:rsidP="00390A9D">
      <w:pPr>
        <w:pStyle w:val="ListParagraph"/>
        <w:numPr>
          <w:ilvl w:val="0"/>
          <w:numId w:val="3"/>
        </w:numPr>
        <w:ind w:left="2160"/>
        <w:rPr>
          <w:rFonts w:asciiTheme="minorHAnsi" w:hAnsiTheme="minorHAnsi"/>
          <w:b/>
          <w:color w:val="0070C0"/>
        </w:rPr>
      </w:pPr>
      <w:r w:rsidRPr="00921808">
        <w:rPr>
          <w:rFonts w:asciiTheme="minorHAnsi" w:hAnsiTheme="minorHAnsi"/>
          <w:b/>
          <w:color w:val="0070C0"/>
        </w:rPr>
        <w:t>Mothers beginning pren</w:t>
      </w:r>
      <w:r w:rsidR="002C1256" w:rsidRPr="00921808">
        <w:rPr>
          <w:rFonts w:asciiTheme="minorHAnsi" w:hAnsiTheme="minorHAnsi"/>
          <w:b/>
          <w:color w:val="0070C0"/>
        </w:rPr>
        <w:t>atal care in the first trimester</w:t>
      </w:r>
    </w:p>
    <w:p w:rsidR="00BF5F09" w:rsidRDefault="002C1256" w:rsidP="002C1256">
      <w:pPr>
        <w:pStyle w:val="ListParagraph"/>
        <w:numPr>
          <w:ilvl w:val="0"/>
          <w:numId w:val="3"/>
        </w:numPr>
        <w:ind w:left="2160"/>
        <w:rPr>
          <w:rFonts w:asciiTheme="minorHAnsi" w:hAnsiTheme="minorHAnsi"/>
          <w:b/>
          <w:color w:val="0070C0"/>
        </w:rPr>
      </w:pPr>
      <w:r w:rsidRPr="00921808">
        <w:rPr>
          <w:rFonts w:asciiTheme="minorHAnsi" w:hAnsiTheme="minorHAnsi"/>
          <w:b/>
          <w:color w:val="0070C0"/>
        </w:rPr>
        <w:t>Early childhood staff with bachelor’s degrees</w:t>
      </w:r>
    </w:p>
    <w:p w:rsidR="00921808" w:rsidRPr="00921808" w:rsidRDefault="00921808" w:rsidP="00921808">
      <w:pPr>
        <w:pStyle w:val="ListParagraph"/>
        <w:ind w:left="2160"/>
        <w:rPr>
          <w:rFonts w:asciiTheme="minorHAnsi" w:hAnsiTheme="minorHAnsi"/>
          <w:b/>
          <w:color w:val="0070C0"/>
        </w:rPr>
      </w:pPr>
    </w:p>
    <w:p w:rsidR="00BF5F09" w:rsidRPr="00921808" w:rsidRDefault="00BF5F09" w:rsidP="00390A9D">
      <w:pPr>
        <w:ind w:left="1440"/>
        <w:rPr>
          <w:b/>
          <w:sz w:val="24"/>
          <w:szCs w:val="24"/>
        </w:rPr>
      </w:pPr>
      <w:r w:rsidRPr="00921808">
        <w:rPr>
          <w:b/>
          <w:sz w:val="24"/>
          <w:szCs w:val="24"/>
        </w:rPr>
        <w:t>Indicators worsening:</w:t>
      </w:r>
    </w:p>
    <w:p w:rsidR="00BF5F09" w:rsidRPr="00921808" w:rsidRDefault="00BF5F09" w:rsidP="00390A9D">
      <w:pPr>
        <w:pStyle w:val="ListParagraph"/>
        <w:numPr>
          <w:ilvl w:val="0"/>
          <w:numId w:val="2"/>
        </w:numPr>
        <w:ind w:left="2160"/>
        <w:rPr>
          <w:rFonts w:asciiTheme="minorHAnsi" w:hAnsiTheme="minorHAnsi"/>
          <w:b/>
          <w:color w:val="0070C0"/>
        </w:rPr>
      </w:pPr>
      <w:r w:rsidRPr="00921808">
        <w:rPr>
          <w:rFonts w:asciiTheme="minorHAnsi" w:hAnsiTheme="minorHAnsi"/>
          <w:b/>
          <w:color w:val="0070C0"/>
        </w:rPr>
        <w:t>Children in poverty</w:t>
      </w:r>
    </w:p>
    <w:p w:rsidR="00BF5F09" w:rsidRPr="00921808" w:rsidRDefault="00BF5F09" w:rsidP="00390A9D">
      <w:pPr>
        <w:pStyle w:val="ListParagraph"/>
        <w:numPr>
          <w:ilvl w:val="0"/>
          <w:numId w:val="2"/>
        </w:numPr>
        <w:ind w:left="2160"/>
        <w:rPr>
          <w:rFonts w:asciiTheme="minorHAnsi" w:hAnsiTheme="minorHAnsi"/>
          <w:b/>
          <w:color w:val="0070C0"/>
        </w:rPr>
      </w:pPr>
      <w:r w:rsidRPr="00921808">
        <w:rPr>
          <w:rFonts w:asciiTheme="minorHAnsi" w:hAnsiTheme="minorHAnsi"/>
          <w:b/>
          <w:color w:val="0070C0"/>
        </w:rPr>
        <w:t>Children who are homeless</w:t>
      </w:r>
    </w:p>
    <w:p w:rsidR="00024CE2" w:rsidRDefault="00BF5F09" w:rsidP="00024CE2">
      <w:pPr>
        <w:pStyle w:val="ListParagraph"/>
        <w:numPr>
          <w:ilvl w:val="0"/>
          <w:numId w:val="2"/>
        </w:numPr>
        <w:ind w:left="2160"/>
        <w:rPr>
          <w:rFonts w:asciiTheme="minorHAnsi" w:hAnsiTheme="minorHAnsi"/>
          <w:b/>
          <w:color w:val="0070C0"/>
        </w:rPr>
      </w:pPr>
      <w:r w:rsidRPr="00921808">
        <w:rPr>
          <w:rFonts w:asciiTheme="minorHAnsi" w:hAnsiTheme="minorHAnsi"/>
          <w:b/>
          <w:color w:val="0070C0"/>
        </w:rPr>
        <w:t>Children in supportive neighborhoods</w:t>
      </w:r>
    </w:p>
    <w:p w:rsidR="00921808" w:rsidRPr="00921808" w:rsidRDefault="00921808" w:rsidP="00921808">
      <w:pPr>
        <w:pStyle w:val="ListParagraph"/>
        <w:ind w:left="2160"/>
        <w:rPr>
          <w:rFonts w:asciiTheme="minorHAnsi" w:hAnsiTheme="minorHAnsi"/>
          <w:b/>
          <w:color w:val="0070C0"/>
        </w:rPr>
      </w:pPr>
    </w:p>
    <w:p w:rsidR="00024CE2" w:rsidRPr="00921808" w:rsidRDefault="00024CE2" w:rsidP="00024CE2">
      <w:pPr>
        <w:ind w:left="1440"/>
        <w:rPr>
          <w:b/>
          <w:sz w:val="24"/>
          <w:szCs w:val="24"/>
        </w:rPr>
      </w:pPr>
      <w:r w:rsidRPr="00921808">
        <w:rPr>
          <w:b/>
          <w:sz w:val="24"/>
          <w:szCs w:val="24"/>
        </w:rPr>
        <w:t>Unknown, conflicting data:</w:t>
      </w:r>
    </w:p>
    <w:p w:rsidR="00024CE2" w:rsidRPr="00921808" w:rsidRDefault="00024CE2" w:rsidP="00024CE2">
      <w:pPr>
        <w:pStyle w:val="ListParagraph"/>
        <w:numPr>
          <w:ilvl w:val="0"/>
          <w:numId w:val="4"/>
        </w:numPr>
        <w:rPr>
          <w:rFonts w:asciiTheme="minorHAnsi" w:hAnsiTheme="minorHAnsi"/>
          <w:b/>
          <w:color w:val="2E74B5" w:themeColor="accent1" w:themeShade="BF"/>
        </w:rPr>
      </w:pPr>
      <w:r w:rsidRPr="00921808">
        <w:rPr>
          <w:rFonts w:asciiTheme="minorHAnsi" w:hAnsiTheme="minorHAnsi"/>
          <w:b/>
          <w:color w:val="2E74B5" w:themeColor="accent1" w:themeShade="BF"/>
        </w:rPr>
        <w:t>Children whose kindergarten entry assessment scores show they are ready for school</w:t>
      </w:r>
    </w:p>
    <w:p w:rsidR="009F2C51" w:rsidRPr="00921808" w:rsidRDefault="009F2C51" w:rsidP="009F2C51">
      <w:pPr>
        <w:pStyle w:val="ListParagraph"/>
        <w:numPr>
          <w:ilvl w:val="0"/>
          <w:numId w:val="4"/>
        </w:numPr>
        <w:rPr>
          <w:rFonts w:asciiTheme="minorHAnsi" w:hAnsiTheme="minorHAnsi"/>
          <w:b/>
          <w:color w:val="2E74B5" w:themeColor="accent1" w:themeShade="BF"/>
        </w:rPr>
      </w:pPr>
      <w:r w:rsidRPr="00921808">
        <w:rPr>
          <w:rFonts w:asciiTheme="minorHAnsi" w:hAnsiTheme="minorHAnsi"/>
          <w:b/>
          <w:color w:val="2E74B5" w:themeColor="accent1" w:themeShade="BF"/>
        </w:rPr>
        <w:t>Children who are read to by their parents or relative caregivers</w:t>
      </w:r>
    </w:p>
    <w:p w:rsidR="009F2C51" w:rsidRDefault="009F2C51" w:rsidP="009F2C51">
      <w:pPr>
        <w:pStyle w:val="ListParagraph"/>
        <w:numPr>
          <w:ilvl w:val="0"/>
          <w:numId w:val="4"/>
        </w:numPr>
        <w:rPr>
          <w:rFonts w:asciiTheme="minorHAnsi" w:hAnsiTheme="minorHAnsi"/>
          <w:b/>
          <w:color w:val="2E74B5" w:themeColor="accent1" w:themeShade="BF"/>
        </w:rPr>
      </w:pPr>
      <w:r w:rsidRPr="00921808">
        <w:rPr>
          <w:rFonts w:asciiTheme="minorHAnsi" w:hAnsiTheme="minorHAnsi"/>
          <w:b/>
          <w:color w:val="2E74B5" w:themeColor="accent1" w:themeShade="BF"/>
        </w:rPr>
        <w:t>Children who are maltreated</w:t>
      </w:r>
    </w:p>
    <w:p w:rsidR="00921808" w:rsidRPr="00921808" w:rsidRDefault="00921808" w:rsidP="00921808">
      <w:pPr>
        <w:pStyle w:val="ListParagraph"/>
        <w:ind w:left="2160"/>
        <w:rPr>
          <w:rFonts w:asciiTheme="minorHAnsi" w:hAnsiTheme="minorHAnsi"/>
          <w:b/>
          <w:color w:val="2E74B5" w:themeColor="accent1" w:themeShade="BF"/>
        </w:rPr>
      </w:pPr>
    </w:p>
    <w:p w:rsidR="0050354F" w:rsidRPr="00921808" w:rsidRDefault="0050354F" w:rsidP="0050354F">
      <w:pPr>
        <w:ind w:left="1440"/>
        <w:rPr>
          <w:b/>
          <w:sz w:val="24"/>
          <w:szCs w:val="24"/>
        </w:rPr>
      </w:pPr>
      <w:r w:rsidRPr="00921808">
        <w:rPr>
          <w:b/>
          <w:sz w:val="24"/>
          <w:szCs w:val="24"/>
        </w:rPr>
        <w:t>Unknown, limited data:</w:t>
      </w:r>
    </w:p>
    <w:p w:rsidR="0050354F" w:rsidRPr="00921808" w:rsidRDefault="0050354F" w:rsidP="0050354F">
      <w:pPr>
        <w:pStyle w:val="ListParagraph"/>
        <w:numPr>
          <w:ilvl w:val="0"/>
          <w:numId w:val="4"/>
        </w:numPr>
        <w:rPr>
          <w:rFonts w:asciiTheme="minorHAnsi" w:hAnsiTheme="minorHAnsi"/>
          <w:b/>
          <w:color w:val="2E74B5" w:themeColor="accent1" w:themeShade="BF"/>
        </w:rPr>
      </w:pPr>
      <w:r w:rsidRPr="00921808">
        <w:rPr>
          <w:rFonts w:asciiTheme="minorHAnsi" w:hAnsiTheme="minorHAnsi"/>
          <w:b/>
          <w:color w:val="2E74B5" w:themeColor="accent1" w:themeShade="BF"/>
        </w:rPr>
        <w:t>Children with a medical home</w:t>
      </w:r>
    </w:p>
    <w:p w:rsidR="0050354F" w:rsidRPr="00921808" w:rsidRDefault="0050354F" w:rsidP="0050354F">
      <w:pPr>
        <w:pStyle w:val="ListParagraph"/>
        <w:numPr>
          <w:ilvl w:val="0"/>
          <w:numId w:val="4"/>
        </w:numPr>
        <w:rPr>
          <w:rFonts w:asciiTheme="minorHAnsi" w:hAnsiTheme="minorHAnsi"/>
          <w:b/>
          <w:color w:val="2E74B5" w:themeColor="accent1" w:themeShade="BF"/>
        </w:rPr>
      </w:pPr>
      <w:r w:rsidRPr="00921808">
        <w:rPr>
          <w:rFonts w:asciiTheme="minorHAnsi" w:hAnsiTheme="minorHAnsi"/>
          <w:b/>
          <w:color w:val="2E74B5" w:themeColor="accent1" w:themeShade="BF"/>
        </w:rPr>
        <w:t>Children with health insurance</w:t>
      </w:r>
    </w:p>
    <w:p w:rsidR="00921808" w:rsidRPr="0050354F" w:rsidRDefault="00921808" w:rsidP="00921808">
      <w:pPr>
        <w:pStyle w:val="ListParagraph"/>
        <w:ind w:left="2160"/>
        <w:rPr>
          <w:rFonts w:asciiTheme="minorHAnsi" w:hAnsiTheme="minorHAnsi"/>
          <w:b/>
          <w:color w:val="2E74B5" w:themeColor="accent1" w:themeShade="BF"/>
          <w:sz w:val="22"/>
          <w:szCs w:val="22"/>
        </w:rPr>
      </w:pPr>
    </w:p>
    <w:p w:rsidR="00BF5F09" w:rsidRDefault="00BF5F09" w:rsidP="00BF5F09">
      <w:pPr>
        <w:rPr>
          <w:b/>
          <w:color w:val="0070C0"/>
        </w:rPr>
      </w:pPr>
    </w:p>
    <w:p w:rsidR="008872E2" w:rsidRPr="00BF5F09" w:rsidRDefault="008872E2" w:rsidP="00BF5F09">
      <w:pPr>
        <w:rPr>
          <w:b/>
          <w:color w:val="0070C0"/>
        </w:rPr>
      </w:pPr>
    </w:p>
    <w:p w:rsidR="008A16B0" w:rsidRPr="008A16B0" w:rsidRDefault="008A16B0" w:rsidP="008A16B0">
      <w:pPr>
        <w:pStyle w:val="ListParagraph"/>
        <w:rPr>
          <w:b/>
          <w:color w:val="0070C0"/>
          <w:sz w:val="22"/>
          <w:szCs w:val="22"/>
        </w:rPr>
      </w:pPr>
    </w:p>
    <w:tbl>
      <w:tblPr>
        <w:tblStyle w:val="TableGrid"/>
        <w:tblW w:w="15115" w:type="dxa"/>
        <w:tblLayout w:type="fixed"/>
        <w:tblLook w:val="04A0" w:firstRow="1" w:lastRow="0" w:firstColumn="1" w:lastColumn="0" w:noHBand="0" w:noVBand="1"/>
      </w:tblPr>
      <w:tblGrid>
        <w:gridCol w:w="1255"/>
        <w:gridCol w:w="1530"/>
        <w:gridCol w:w="5400"/>
        <w:gridCol w:w="5580"/>
        <w:gridCol w:w="1350"/>
      </w:tblGrid>
      <w:tr w:rsidR="002B4D2C" w:rsidRPr="00ED01A4" w:rsidTr="00D16BBE">
        <w:tc>
          <w:tcPr>
            <w:tcW w:w="15115" w:type="dxa"/>
            <w:gridSpan w:val="5"/>
            <w:shd w:val="clear" w:color="auto" w:fill="F2F2F2" w:themeFill="background1" w:themeFillShade="F2"/>
          </w:tcPr>
          <w:p w:rsidR="002B4D2C" w:rsidRPr="00ED01A4" w:rsidRDefault="002B4D2C" w:rsidP="009154BA">
            <w:pPr>
              <w:shd w:val="clear" w:color="auto" w:fill="F2F2F2" w:themeFill="background1" w:themeFillShade="F2"/>
              <w:rPr>
                <w:b/>
              </w:rPr>
            </w:pPr>
            <w:r w:rsidRPr="00ED01A4">
              <w:rPr>
                <w:b/>
              </w:rPr>
              <w:t xml:space="preserve">Area of Focus: Every Florida Child is Healthy </w:t>
            </w:r>
          </w:p>
          <w:p w:rsidR="002B4D2C" w:rsidRPr="00ED01A4" w:rsidRDefault="002B4D2C" w:rsidP="009154BA">
            <w:pPr>
              <w:shd w:val="clear" w:color="auto" w:fill="F2F2F2" w:themeFill="background1" w:themeFillShade="F2"/>
              <w:rPr>
                <w:b/>
              </w:rPr>
            </w:pPr>
          </w:p>
        </w:tc>
      </w:tr>
      <w:tr w:rsidR="002B4D2C" w:rsidRPr="00ED01A4" w:rsidTr="00BD6EEB">
        <w:tc>
          <w:tcPr>
            <w:tcW w:w="1255" w:type="dxa"/>
            <w:shd w:val="clear" w:color="auto" w:fill="D9D9D9" w:themeFill="background1" w:themeFillShade="D9"/>
          </w:tcPr>
          <w:p w:rsidR="00EB2EC9" w:rsidRPr="00ED01A4" w:rsidRDefault="00ED01A4" w:rsidP="00D16BBE">
            <w:pPr>
              <w:jc w:val="center"/>
              <w:rPr>
                <w:b/>
              </w:rPr>
            </w:pPr>
            <w:r w:rsidRPr="00ED01A4">
              <w:rPr>
                <w:b/>
              </w:rPr>
              <w:t>Headline Indicator</w:t>
            </w:r>
          </w:p>
        </w:tc>
        <w:tc>
          <w:tcPr>
            <w:tcW w:w="1530" w:type="dxa"/>
            <w:shd w:val="clear" w:color="auto" w:fill="D9D9D9" w:themeFill="background1" w:themeFillShade="D9"/>
          </w:tcPr>
          <w:p w:rsidR="00EB2EC9" w:rsidRPr="00ED01A4" w:rsidRDefault="00EB2EC9" w:rsidP="003354E3">
            <w:pPr>
              <w:jc w:val="center"/>
              <w:rPr>
                <w:b/>
              </w:rPr>
            </w:pPr>
            <w:r w:rsidRPr="00ED01A4">
              <w:rPr>
                <w:b/>
              </w:rPr>
              <w:t xml:space="preserve">Multiagency </w:t>
            </w:r>
            <w:r w:rsidR="003354E3" w:rsidRPr="00ED01A4">
              <w:rPr>
                <w:b/>
              </w:rPr>
              <w:t>G</w:t>
            </w:r>
            <w:r w:rsidR="00B72672">
              <w:rPr>
                <w:b/>
              </w:rPr>
              <w:t xml:space="preserve">roups </w:t>
            </w:r>
            <w:r w:rsidRPr="00ED01A4">
              <w:rPr>
                <w:b/>
              </w:rPr>
              <w:t>Related</w:t>
            </w:r>
          </w:p>
        </w:tc>
        <w:tc>
          <w:tcPr>
            <w:tcW w:w="5400" w:type="dxa"/>
            <w:shd w:val="clear" w:color="auto" w:fill="D9D9D9" w:themeFill="background1" w:themeFillShade="D9"/>
          </w:tcPr>
          <w:p w:rsidR="00EB2EC9" w:rsidRPr="00ED01A4" w:rsidRDefault="00EB2EC9" w:rsidP="00D16BBE">
            <w:pPr>
              <w:jc w:val="center"/>
              <w:rPr>
                <w:b/>
              </w:rPr>
            </w:pPr>
            <w:r w:rsidRPr="00ED01A4">
              <w:rPr>
                <w:b/>
              </w:rPr>
              <w:t xml:space="preserve">Data Trend From </w:t>
            </w:r>
            <w:r w:rsidR="00ED01A4" w:rsidRPr="00ED01A4">
              <w:rPr>
                <w:b/>
              </w:rPr>
              <w:t xml:space="preserve">Cabinet </w:t>
            </w:r>
            <w:r w:rsidRPr="00ED01A4">
              <w:rPr>
                <w:b/>
              </w:rPr>
              <w:t>Annual Report</w:t>
            </w:r>
          </w:p>
        </w:tc>
        <w:tc>
          <w:tcPr>
            <w:tcW w:w="5580" w:type="dxa"/>
            <w:shd w:val="clear" w:color="auto" w:fill="D9D9D9" w:themeFill="background1" w:themeFillShade="D9"/>
          </w:tcPr>
          <w:p w:rsidR="00EB2EC9" w:rsidRPr="00ED01A4" w:rsidRDefault="009C62C1" w:rsidP="00D16BBE">
            <w:pPr>
              <w:jc w:val="center"/>
              <w:rPr>
                <w:b/>
              </w:rPr>
            </w:pPr>
            <w:r w:rsidRPr="00ED01A4">
              <w:rPr>
                <w:b/>
              </w:rPr>
              <w:t>Data From Alternativ</w:t>
            </w:r>
            <w:r w:rsidR="00ED01A4" w:rsidRPr="00ED01A4">
              <w:rPr>
                <w:b/>
              </w:rPr>
              <w:t>e Source</w:t>
            </w:r>
          </w:p>
        </w:tc>
        <w:tc>
          <w:tcPr>
            <w:tcW w:w="1350" w:type="dxa"/>
            <w:shd w:val="clear" w:color="auto" w:fill="D9D9D9" w:themeFill="background1" w:themeFillShade="D9"/>
          </w:tcPr>
          <w:p w:rsidR="00EB2EC9" w:rsidRPr="00ED01A4" w:rsidRDefault="00EB2EC9" w:rsidP="00D16BBE">
            <w:pPr>
              <w:jc w:val="center"/>
              <w:rPr>
                <w:b/>
              </w:rPr>
            </w:pPr>
            <w:r w:rsidRPr="00ED01A4">
              <w:rPr>
                <w:b/>
              </w:rPr>
              <w:t>Turning the Curve?</w:t>
            </w:r>
          </w:p>
        </w:tc>
      </w:tr>
      <w:tr w:rsidR="002B4D2C" w:rsidRPr="00ED01A4" w:rsidTr="00BD6EEB">
        <w:tc>
          <w:tcPr>
            <w:tcW w:w="1255" w:type="dxa"/>
          </w:tcPr>
          <w:p w:rsidR="0010111C" w:rsidRDefault="00EB2EC9" w:rsidP="009154BA">
            <w:pPr>
              <w:rPr>
                <w:b/>
              </w:rPr>
            </w:pPr>
            <w:r w:rsidRPr="00ED01A4">
              <w:rPr>
                <w:b/>
              </w:rPr>
              <w:t xml:space="preserve">1.1: </w:t>
            </w:r>
          </w:p>
          <w:p w:rsidR="00EB2EC9" w:rsidRPr="00ED01A4" w:rsidRDefault="00EB2EC9" w:rsidP="009154BA">
            <w:pPr>
              <w:rPr>
                <w:b/>
              </w:rPr>
            </w:pPr>
            <w:r w:rsidRPr="00ED01A4">
              <w:rPr>
                <w:b/>
              </w:rPr>
              <w:t xml:space="preserve">Mothers beginning prenatal care in the first trimester </w:t>
            </w:r>
          </w:p>
          <w:p w:rsidR="00607F96" w:rsidRPr="00ED01A4" w:rsidRDefault="00607F96" w:rsidP="00607F96">
            <w:pPr>
              <w:pStyle w:val="NormalWeb"/>
              <w:spacing w:before="0" w:beforeAutospacing="0" w:after="0" w:afterAutospacing="0"/>
              <w:jc w:val="both"/>
              <w:rPr>
                <w:rFonts w:asciiTheme="minorHAnsi" w:hAnsiTheme="minorHAnsi"/>
                <w:sz w:val="22"/>
                <w:szCs w:val="22"/>
              </w:rPr>
            </w:pPr>
          </w:p>
          <w:p w:rsidR="00EB2EC9" w:rsidRPr="00ED01A4" w:rsidRDefault="00EB2EC9" w:rsidP="009154BA">
            <w:pPr>
              <w:rPr>
                <w:rFonts w:cs="Times New Roman"/>
                <w:sz w:val="20"/>
              </w:rPr>
            </w:pPr>
          </w:p>
          <w:p w:rsidR="0094207A" w:rsidRDefault="0094207A" w:rsidP="009154BA"/>
          <w:p w:rsidR="00ED01A4" w:rsidRDefault="00ED01A4" w:rsidP="009154BA"/>
          <w:p w:rsidR="00ED01A4" w:rsidRDefault="00ED01A4" w:rsidP="009154BA"/>
          <w:p w:rsidR="00ED01A4" w:rsidRDefault="00ED01A4" w:rsidP="009154BA"/>
          <w:p w:rsidR="00ED01A4" w:rsidRDefault="00ED01A4" w:rsidP="009154BA"/>
          <w:p w:rsidR="00ED01A4" w:rsidRDefault="00ED01A4" w:rsidP="009154BA"/>
          <w:p w:rsidR="00ED01A4" w:rsidRDefault="00ED01A4" w:rsidP="009154BA"/>
          <w:p w:rsidR="00ED01A4" w:rsidRPr="00ED01A4" w:rsidRDefault="00ED01A4" w:rsidP="009154BA"/>
        </w:tc>
        <w:tc>
          <w:tcPr>
            <w:tcW w:w="1530" w:type="dxa"/>
          </w:tcPr>
          <w:p w:rsidR="008A7D98" w:rsidRDefault="008A7D98" w:rsidP="009154BA"/>
          <w:p w:rsidR="00EB2EC9" w:rsidRDefault="00E055A7" w:rsidP="009154BA">
            <w:r>
              <w:t>Project LAUNCH</w:t>
            </w:r>
          </w:p>
          <w:p w:rsidR="00557821" w:rsidRDefault="00557821" w:rsidP="009154BA"/>
          <w:p w:rsidR="00557821" w:rsidRPr="00ED01A4" w:rsidRDefault="00557821" w:rsidP="009154BA"/>
        </w:tc>
        <w:tc>
          <w:tcPr>
            <w:tcW w:w="5400" w:type="dxa"/>
          </w:tcPr>
          <w:p w:rsidR="00EB2EC9" w:rsidRPr="00ED01A4" w:rsidRDefault="002B4D2C" w:rsidP="0094207A">
            <w:r w:rsidRPr="00ED01A4">
              <w:rPr>
                <w:b/>
                <w:noProof/>
              </w:rPr>
              <w:drawing>
                <wp:inline distT="0" distB="0" distL="0" distR="0" wp14:anchorId="74DBF85F" wp14:editId="35D44907">
                  <wp:extent cx="3238500" cy="16192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01A4" w:rsidRDefault="00ED01A4" w:rsidP="00ED01A4">
            <w:pPr>
              <w:pStyle w:val="NormalWeb"/>
              <w:spacing w:before="0" w:beforeAutospacing="0" w:after="0" w:afterAutospacing="0"/>
              <w:jc w:val="both"/>
              <w:rPr>
                <w:rFonts w:asciiTheme="minorHAnsi" w:hAnsiTheme="minorHAnsi"/>
                <w:sz w:val="20"/>
                <w:szCs w:val="22"/>
              </w:rPr>
            </w:pPr>
          </w:p>
          <w:p w:rsidR="00ED01A4" w:rsidRDefault="00607F96" w:rsidP="00B72672">
            <w:pPr>
              <w:pStyle w:val="NormalWeb"/>
              <w:spacing w:before="0" w:beforeAutospacing="0" w:after="0" w:afterAutospacing="0"/>
              <w:rPr>
                <w:rFonts w:asciiTheme="minorHAnsi" w:hAnsiTheme="minorHAnsi"/>
                <w:sz w:val="20"/>
                <w:szCs w:val="22"/>
              </w:rPr>
            </w:pPr>
            <w:r w:rsidRPr="00ED01A4">
              <w:rPr>
                <w:rFonts w:asciiTheme="minorHAnsi" w:hAnsiTheme="minorHAnsi"/>
                <w:sz w:val="20"/>
                <w:szCs w:val="22"/>
              </w:rPr>
              <w:t>Indicator definition:</w:t>
            </w:r>
            <w:r w:rsidRPr="00ED01A4">
              <w:rPr>
                <w:rFonts w:asciiTheme="minorHAnsi" w:hAnsiTheme="minorHAnsi"/>
                <w:i/>
                <w:sz w:val="20"/>
                <w:szCs w:val="22"/>
              </w:rPr>
              <w:t xml:space="preserve"> </w:t>
            </w:r>
            <w:r w:rsidRPr="00ED01A4">
              <w:rPr>
                <w:rFonts w:asciiTheme="minorHAnsi" w:hAnsiTheme="minorHAnsi"/>
                <w:sz w:val="20"/>
                <w:szCs w:val="22"/>
              </w:rPr>
              <w:t xml:space="preserve">Rate of live births with prenatal care </w:t>
            </w:r>
            <w:r w:rsidR="00ED01A4">
              <w:rPr>
                <w:rFonts w:asciiTheme="minorHAnsi" w:hAnsiTheme="minorHAnsi"/>
                <w:sz w:val="20"/>
                <w:szCs w:val="22"/>
              </w:rPr>
              <w:t>beginnin</w:t>
            </w:r>
            <w:r w:rsidRPr="00ED01A4">
              <w:rPr>
                <w:rFonts w:asciiTheme="minorHAnsi" w:hAnsiTheme="minorHAnsi"/>
                <w:sz w:val="20"/>
                <w:szCs w:val="22"/>
              </w:rPr>
              <w:t>g in the first trimester per 1,000 population.</w:t>
            </w:r>
          </w:p>
          <w:p w:rsidR="00ED01A4" w:rsidRPr="00ED01A4" w:rsidRDefault="00ED01A4" w:rsidP="00ED01A4">
            <w:pPr>
              <w:pStyle w:val="NormalWeb"/>
              <w:spacing w:before="0" w:beforeAutospacing="0" w:after="0" w:afterAutospacing="0"/>
              <w:jc w:val="both"/>
              <w:rPr>
                <w:rFonts w:asciiTheme="minorHAnsi" w:hAnsiTheme="minorHAnsi"/>
                <w:sz w:val="20"/>
                <w:szCs w:val="22"/>
              </w:rPr>
            </w:pPr>
          </w:p>
        </w:tc>
        <w:tc>
          <w:tcPr>
            <w:tcW w:w="5580" w:type="dxa"/>
            <w:shd w:val="clear" w:color="auto" w:fill="FFFFFF" w:themeFill="background1"/>
          </w:tcPr>
          <w:tbl>
            <w:tblPr>
              <w:tblStyle w:val="TableGrid"/>
              <w:tblpPr w:leftFromText="180" w:rightFromText="180" w:vertAnchor="text" w:horzAnchor="margin" w:tblpY="-226"/>
              <w:tblOverlap w:val="never"/>
              <w:tblW w:w="5305" w:type="dxa"/>
              <w:tblLayout w:type="fixed"/>
              <w:tblLook w:val="04A0" w:firstRow="1" w:lastRow="0" w:firstColumn="1" w:lastColumn="0" w:noHBand="0" w:noVBand="1"/>
            </w:tblPr>
            <w:tblGrid>
              <w:gridCol w:w="1230"/>
              <w:gridCol w:w="829"/>
              <w:gridCol w:w="829"/>
              <w:gridCol w:w="829"/>
              <w:gridCol w:w="778"/>
              <w:gridCol w:w="810"/>
            </w:tblGrid>
            <w:tr w:rsidR="001B6D4C" w:rsidRPr="00ED01A4" w:rsidTr="00ED01A4">
              <w:tc>
                <w:tcPr>
                  <w:tcW w:w="1230" w:type="dxa"/>
                </w:tcPr>
                <w:p w:rsidR="001B6D4C" w:rsidRPr="00ED01A4" w:rsidRDefault="001B6D4C" w:rsidP="001B6D4C">
                  <w:pPr>
                    <w:rPr>
                      <w:sz w:val="20"/>
                      <w:szCs w:val="20"/>
                    </w:rPr>
                  </w:pPr>
                  <w:r w:rsidRPr="00ED01A4">
                    <w:rPr>
                      <w:sz w:val="20"/>
                      <w:szCs w:val="20"/>
                    </w:rPr>
                    <w:t>Data Type</w:t>
                  </w:r>
                </w:p>
              </w:tc>
              <w:tc>
                <w:tcPr>
                  <w:tcW w:w="829" w:type="dxa"/>
                </w:tcPr>
                <w:p w:rsidR="001B6D4C" w:rsidRPr="00ED01A4" w:rsidRDefault="001B6D4C" w:rsidP="001B6D4C">
                  <w:pPr>
                    <w:rPr>
                      <w:sz w:val="20"/>
                      <w:szCs w:val="20"/>
                    </w:rPr>
                  </w:pPr>
                  <w:r w:rsidRPr="00ED01A4">
                    <w:rPr>
                      <w:sz w:val="20"/>
                      <w:szCs w:val="20"/>
                    </w:rPr>
                    <w:t>2009</w:t>
                  </w:r>
                </w:p>
              </w:tc>
              <w:tc>
                <w:tcPr>
                  <w:tcW w:w="829" w:type="dxa"/>
                </w:tcPr>
                <w:p w:rsidR="001B6D4C" w:rsidRPr="00ED01A4" w:rsidRDefault="001B6D4C" w:rsidP="001B6D4C">
                  <w:pPr>
                    <w:rPr>
                      <w:sz w:val="20"/>
                      <w:szCs w:val="20"/>
                    </w:rPr>
                  </w:pPr>
                  <w:r w:rsidRPr="00ED01A4">
                    <w:rPr>
                      <w:sz w:val="20"/>
                      <w:szCs w:val="20"/>
                    </w:rPr>
                    <w:t>2010</w:t>
                  </w:r>
                </w:p>
              </w:tc>
              <w:tc>
                <w:tcPr>
                  <w:tcW w:w="829" w:type="dxa"/>
                </w:tcPr>
                <w:p w:rsidR="001B6D4C" w:rsidRPr="00ED01A4" w:rsidRDefault="001B6D4C" w:rsidP="001B6D4C">
                  <w:pPr>
                    <w:rPr>
                      <w:sz w:val="20"/>
                      <w:szCs w:val="20"/>
                    </w:rPr>
                  </w:pPr>
                  <w:r w:rsidRPr="00ED01A4">
                    <w:rPr>
                      <w:sz w:val="20"/>
                      <w:szCs w:val="20"/>
                    </w:rPr>
                    <w:t>2011</w:t>
                  </w:r>
                </w:p>
              </w:tc>
              <w:tc>
                <w:tcPr>
                  <w:tcW w:w="778" w:type="dxa"/>
                </w:tcPr>
                <w:p w:rsidR="001B6D4C" w:rsidRPr="00ED01A4" w:rsidRDefault="001B6D4C" w:rsidP="001B6D4C">
                  <w:pPr>
                    <w:rPr>
                      <w:sz w:val="20"/>
                      <w:szCs w:val="20"/>
                    </w:rPr>
                  </w:pPr>
                  <w:r w:rsidRPr="00ED01A4">
                    <w:rPr>
                      <w:sz w:val="20"/>
                      <w:szCs w:val="20"/>
                    </w:rPr>
                    <w:t>2012</w:t>
                  </w:r>
                </w:p>
              </w:tc>
              <w:tc>
                <w:tcPr>
                  <w:tcW w:w="810" w:type="dxa"/>
                </w:tcPr>
                <w:p w:rsidR="001B6D4C" w:rsidRPr="00ED01A4" w:rsidRDefault="001B6D4C" w:rsidP="001B6D4C">
                  <w:pPr>
                    <w:rPr>
                      <w:sz w:val="20"/>
                      <w:szCs w:val="20"/>
                    </w:rPr>
                  </w:pPr>
                  <w:r w:rsidRPr="00ED01A4">
                    <w:rPr>
                      <w:sz w:val="20"/>
                      <w:szCs w:val="20"/>
                    </w:rPr>
                    <w:t>2013</w:t>
                  </w:r>
                </w:p>
              </w:tc>
            </w:tr>
            <w:tr w:rsidR="001B6D4C" w:rsidRPr="00ED01A4" w:rsidTr="00ED01A4">
              <w:tc>
                <w:tcPr>
                  <w:tcW w:w="1230" w:type="dxa"/>
                </w:tcPr>
                <w:p w:rsidR="001B6D4C" w:rsidRPr="00ED01A4" w:rsidRDefault="001B6D4C" w:rsidP="001B6D4C">
                  <w:pPr>
                    <w:rPr>
                      <w:sz w:val="20"/>
                      <w:szCs w:val="20"/>
                    </w:rPr>
                  </w:pPr>
                  <w:r w:rsidRPr="00ED01A4">
                    <w:rPr>
                      <w:sz w:val="20"/>
                      <w:szCs w:val="20"/>
                    </w:rPr>
                    <w:t>Number</w:t>
                  </w:r>
                </w:p>
              </w:tc>
              <w:tc>
                <w:tcPr>
                  <w:tcW w:w="829" w:type="dxa"/>
                </w:tcPr>
                <w:p w:rsidR="001B6D4C" w:rsidRPr="00ED01A4" w:rsidRDefault="001B6D4C" w:rsidP="001B6D4C">
                  <w:pPr>
                    <w:rPr>
                      <w:sz w:val="20"/>
                      <w:szCs w:val="20"/>
                    </w:rPr>
                  </w:pPr>
                  <w:r w:rsidRPr="00ED01A4">
                    <w:rPr>
                      <w:sz w:val="20"/>
                      <w:szCs w:val="20"/>
                    </w:rPr>
                    <w:t>13,205</w:t>
                  </w:r>
                </w:p>
              </w:tc>
              <w:tc>
                <w:tcPr>
                  <w:tcW w:w="829" w:type="dxa"/>
                </w:tcPr>
                <w:p w:rsidR="001B6D4C" w:rsidRPr="00ED01A4" w:rsidRDefault="001B6D4C" w:rsidP="001B6D4C">
                  <w:pPr>
                    <w:rPr>
                      <w:sz w:val="20"/>
                      <w:szCs w:val="20"/>
                    </w:rPr>
                  </w:pPr>
                  <w:r w:rsidRPr="00ED01A4">
                    <w:rPr>
                      <w:sz w:val="20"/>
                      <w:szCs w:val="20"/>
                    </w:rPr>
                    <w:t>11,459</w:t>
                  </w:r>
                </w:p>
              </w:tc>
              <w:tc>
                <w:tcPr>
                  <w:tcW w:w="829" w:type="dxa"/>
                </w:tcPr>
                <w:p w:rsidR="001B6D4C" w:rsidRPr="00ED01A4" w:rsidRDefault="001B6D4C" w:rsidP="001B6D4C">
                  <w:pPr>
                    <w:rPr>
                      <w:sz w:val="20"/>
                      <w:szCs w:val="20"/>
                    </w:rPr>
                  </w:pPr>
                  <w:r w:rsidRPr="00ED01A4">
                    <w:rPr>
                      <w:sz w:val="20"/>
                      <w:szCs w:val="20"/>
                    </w:rPr>
                    <w:t>11,257</w:t>
                  </w:r>
                </w:p>
              </w:tc>
              <w:tc>
                <w:tcPr>
                  <w:tcW w:w="778" w:type="dxa"/>
                </w:tcPr>
                <w:p w:rsidR="001B6D4C" w:rsidRPr="00ED01A4" w:rsidRDefault="001B6D4C" w:rsidP="001B6D4C">
                  <w:pPr>
                    <w:rPr>
                      <w:sz w:val="20"/>
                      <w:szCs w:val="20"/>
                    </w:rPr>
                  </w:pPr>
                  <w:r w:rsidRPr="00ED01A4">
                    <w:rPr>
                      <w:sz w:val="20"/>
                      <w:szCs w:val="20"/>
                    </w:rPr>
                    <w:t>12,504</w:t>
                  </w:r>
                </w:p>
              </w:tc>
              <w:tc>
                <w:tcPr>
                  <w:tcW w:w="810" w:type="dxa"/>
                </w:tcPr>
                <w:p w:rsidR="001B6D4C" w:rsidRPr="00ED01A4" w:rsidRDefault="001B6D4C" w:rsidP="001B6D4C">
                  <w:pPr>
                    <w:rPr>
                      <w:sz w:val="20"/>
                      <w:szCs w:val="20"/>
                    </w:rPr>
                  </w:pPr>
                  <w:r w:rsidRPr="00ED01A4">
                    <w:rPr>
                      <w:sz w:val="20"/>
                      <w:szCs w:val="20"/>
                    </w:rPr>
                    <w:t>12,618</w:t>
                  </w:r>
                </w:p>
              </w:tc>
            </w:tr>
            <w:tr w:rsidR="001B6D4C" w:rsidRPr="00ED01A4" w:rsidTr="00ED01A4">
              <w:tc>
                <w:tcPr>
                  <w:tcW w:w="1230" w:type="dxa"/>
                </w:tcPr>
                <w:p w:rsidR="001B6D4C" w:rsidRPr="00ED01A4" w:rsidRDefault="001B6D4C" w:rsidP="001B6D4C">
                  <w:pPr>
                    <w:rPr>
                      <w:sz w:val="20"/>
                      <w:szCs w:val="20"/>
                    </w:rPr>
                  </w:pPr>
                  <w:r w:rsidRPr="00ED01A4">
                    <w:rPr>
                      <w:sz w:val="20"/>
                      <w:szCs w:val="20"/>
                    </w:rPr>
                    <w:t>Percent</w:t>
                  </w:r>
                </w:p>
              </w:tc>
              <w:tc>
                <w:tcPr>
                  <w:tcW w:w="829" w:type="dxa"/>
                </w:tcPr>
                <w:p w:rsidR="001B6D4C" w:rsidRPr="00ED01A4" w:rsidRDefault="001B6D4C" w:rsidP="001B6D4C">
                  <w:pPr>
                    <w:rPr>
                      <w:sz w:val="20"/>
                      <w:szCs w:val="20"/>
                    </w:rPr>
                  </w:pPr>
                  <w:r w:rsidRPr="00ED01A4">
                    <w:rPr>
                      <w:sz w:val="20"/>
                      <w:szCs w:val="20"/>
                    </w:rPr>
                    <w:t>6%</w:t>
                  </w:r>
                </w:p>
              </w:tc>
              <w:tc>
                <w:tcPr>
                  <w:tcW w:w="829" w:type="dxa"/>
                </w:tcPr>
                <w:p w:rsidR="001B6D4C" w:rsidRPr="00ED01A4" w:rsidRDefault="001B6D4C" w:rsidP="001B6D4C">
                  <w:pPr>
                    <w:rPr>
                      <w:sz w:val="20"/>
                      <w:szCs w:val="20"/>
                    </w:rPr>
                  </w:pPr>
                  <w:r w:rsidRPr="00ED01A4">
                    <w:rPr>
                      <w:sz w:val="20"/>
                      <w:szCs w:val="20"/>
                    </w:rPr>
                    <w:t>6%</w:t>
                  </w:r>
                </w:p>
              </w:tc>
              <w:tc>
                <w:tcPr>
                  <w:tcW w:w="829" w:type="dxa"/>
                </w:tcPr>
                <w:p w:rsidR="001B6D4C" w:rsidRPr="00ED01A4" w:rsidRDefault="001B6D4C" w:rsidP="001B6D4C">
                  <w:pPr>
                    <w:rPr>
                      <w:sz w:val="20"/>
                      <w:szCs w:val="20"/>
                    </w:rPr>
                  </w:pPr>
                  <w:r w:rsidRPr="00ED01A4">
                    <w:rPr>
                      <w:sz w:val="20"/>
                      <w:szCs w:val="20"/>
                    </w:rPr>
                    <w:t>6%</w:t>
                  </w:r>
                </w:p>
              </w:tc>
              <w:tc>
                <w:tcPr>
                  <w:tcW w:w="778" w:type="dxa"/>
                </w:tcPr>
                <w:p w:rsidR="001B6D4C" w:rsidRPr="00ED01A4" w:rsidRDefault="001B6D4C" w:rsidP="001B6D4C">
                  <w:pPr>
                    <w:rPr>
                      <w:sz w:val="20"/>
                      <w:szCs w:val="20"/>
                    </w:rPr>
                  </w:pPr>
                  <w:r w:rsidRPr="00ED01A4">
                    <w:rPr>
                      <w:sz w:val="20"/>
                      <w:szCs w:val="20"/>
                    </w:rPr>
                    <w:t>6%</w:t>
                  </w:r>
                </w:p>
              </w:tc>
              <w:tc>
                <w:tcPr>
                  <w:tcW w:w="810" w:type="dxa"/>
                </w:tcPr>
                <w:p w:rsidR="001B6D4C" w:rsidRPr="00ED01A4" w:rsidRDefault="001B6D4C" w:rsidP="001B6D4C">
                  <w:pPr>
                    <w:rPr>
                      <w:sz w:val="20"/>
                      <w:szCs w:val="20"/>
                    </w:rPr>
                  </w:pPr>
                  <w:r w:rsidRPr="00ED01A4">
                    <w:rPr>
                      <w:sz w:val="20"/>
                      <w:szCs w:val="20"/>
                    </w:rPr>
                    <w:t>6%</w:t>
                  </w:r>
                </w:p>
              </w:tc>
            </w:tr>
          </w:tbl>
          <w:p w:rsidR="0003294A" w:rsidRDefault="0003294A" w:rsidP="000A4089">
            <w:pPr>
              <w:spacing w:line="225" w:lineRule="atLeast"/>
              <w:rPr>
                <w:sz w:val="20"/>
              </w:rPr>
            </w:pPr>
          </w:p>
          <w:p w:rsidR="001B6D4C" w:rsidRDefault="001B6D4C" w:rsidP="000A4089">
            <w:pPr>
              <w:spacing w:line="225" w:lineRule="atLeast"/>
              <w:rPr>
                <w:sz w:val="20"/>
              </w:rPr>
            </w:pPr>
            <w:r w:rsidRPr="00ED01A4">
              <w:rPr>
                <w:sz w:val="20"/>
              </w:rPr>
              <w:t xml:space="preserve">Definitions: Births that occurred to mothers who reported receiving prenatal care only in the third trimester of their pregnancy, or reported receiving no prenatal care. </w:t>
            </w:r>
          </w:p>
          <w:p w:rsidR="00ED01A4" w:rsidRPr="00ED01A4" w:rsidRDefault="00ED01A4" w:rsidP="000A4089">
            <w:pPr>
              <w:spacing w:line="225" w:lineRule="atLeast"/>
              <w:rPr>
                <w:sz w:val="20"/>
              </w:rPr>
            </w:pPr>
          </w:p>
          <w:p w:rsidR="001B6D4C" w:rsidRPr="00ED01A4" w:rsidRDefault="001B6D4C" w:rsidP="000A4089">
            <w:pPr>
              <w:spacing w:line="225" w:lineRule="atLeast"/>
              <w:rPr>
                <w:sz w:val="20"/>
              </w:rPr>
            </w:pPr>
            <w:r w:rsidRPr="00ED01A4">
              <w:rPr>
                <w:sz w:val="20"/>
              </w:rPr>
              <w:t>Data Source: 2007-2013 Population Reference Bureau analysis of Centers for Disease Control and Prevention (CDC), National Center for Health Statistics (NCHS).  2003-2006 Child Trends analysis of NCHS Final Birth microdata files.</w:t>
            </w:r>
          </w:p>
          <w:p w:rsidR="001B6D4C" w:rsidRPr="00ED01A4" w:rsidRDefault="001B6D4C" w:rsidP="001B6D4C">
            <w:pPr>
              <w:shd w:val="clear" w:color="auto" w:fill="FFFFFF" w:themeFill="background1"/>
              <w:spacing w:line="225" w:lineRule="atLeast"/>
            </w:pPr>
          </w:p>
        </w:tc>
        <w:tc>
          <w:tcPr>
            <w:tcW w:w="1350" w:type="dxa"/>
          </w:tcPr>
          <w:p w:rsidR="00EB2EC9" w:rsidRPr="001B64D2" w:rsidRDefault="00ED01A4" w:rsidP="009154BA">
            <w:pPr>
              <w:rPr>
                <w:b/>
              </w:rPr>
            </w:pPr>
            <w:r w:rsidRPr="001B64D2">
              <w:rPr>
                <w:b/>
                <w:color w:val="0070C0"/>
              </w:rPr>
              <w:t>NO, little or no change</w:t>
            </w:r>
          </w:p>
        </w:tc>
      </w:tr>
    </w:tbl>
    <w:p w:rsidR="00ED01A4" w:rsidRDefault="00ED01A4"/>
    <w:p w:rsidR="007B0002" w:rsidRDefault="007B0002"/>
    <w:p w:rsidR="007B0002" w:rsidRDefault="007B0002"/>
    <w:p w:rsidR="007B0002" w:rsidRDefault="007B0002"/>
    <w:p w:rsidR="007B0002" w:rsidRDefault="007B0002"/>
    <w:p w:rsidR="007B0002" w:rsidRDefault="007B0002"/>
    <w:p w:rsidR="007B0002" w:rsidRDefault="007B0002"/>
    <w:p w:rsidR="007B0002" w:rsidRDefault="007B0002"/>
    <w:tbl>
      <w:tblPr>
        <w:tblStyle w:val="TableGrid"/>
        <w:tblW w:w="15115" w:type="dxa"/>
        <w:tblLayout w:type="fixed"/>
        <w:tblLook w:val="04A0" w:firstRow="1" w:lastRow="0" w:firstColumn="1" w:lastColumn="0" w:noHBand="0" w:noVBand="1"/>
      </w:tblPr>
      <w:tblGrid>
        <w:gridCol w:w="1615"/>
        <w:gridCol w:w="1440"/>
        <w:gridCol w:w="5310"/>
        <w:gridCol w:w="5400"/>
        <w:gridCol w:w="1350"/>
      </w:tblGrid>
      <w:tr w:rsidR="00ED01A4" w:rsidRPr="00ED01A4" w:rsidTr="00607AF0">
        <w:tc>
          <w:tcPr>
            <w:tcW w:w="15115" w:type="dxa"/>
            <w:gridSpan w:val="5"/>
            <w:shd w:val="clear" w:color="auto" w:fill="F2F2F2" w:themeFill="background1" w:themeFillShade="F2"/>
          </w:tcPr>
          <w:p w:rsidR="00ED01A4" w:rsidRPr="00ED01A4" w:rsidRDefault="00ED01A4" w:rsidP="00607AF0">
            <w:pPr>
              <w:shd w:val="clear" w:color="auto" w:fill="F2F2F2" w:themeFill="background1" w:themeFillShade="F2"/>
              <w:rPr>
                <w:b/>
              </w:rPr>
            </w:pPr>
            <w:r w:rsidRPr="00ED01A4">
              <w:rPr>
                <w:b/>
              </w:rPr>
              <w:t xml:space="preserve">Area of Focus: Every Florida Child is Healthy </w:t>
            </w:r>
          </w:p>
          <w:p w:rsidR="00ED01A4" w:rsidRPr="00ED01A4" w:rsidRDefault="00ED01A4" w:rsidP="00607AF0">
            <w:pPr>
              <w:shd w:val="clear" w:color="auto" w:fill="F2F2F2" w:themeFill="background1" w:themeFillShade="F2"/>
              <w:rPr>
                <w:b/>
              </w:rPr>
            </w:pPr>
          </w:p>
        </w:tc>
      </w:tr>
      <w:tr w:rsidR="00ED01A4" w:rsidRPr="00ED01A4" w:rsidTr="00B72672">
        <w:tc>
          <w:tcPr>
            <w:tcW w:w="1615" w:type="dxa"/>
            <w:shd w:val="clear" w:color="auto" w:fill="D9D9D9" w:themeFill="background1" w:themeFillShade="D9"/>
          </w:tcPr>
          <w:p w:rsidR="00ED01A4" w:rsidRPr="00ED01A4" w:rsidRDefault="00ED01A4" w:rsidP="00607AF0">
            <w:pPr>
              <w:jc w:val="center"/>
              <w:rPr>
                <w:b/>
              </w:rPr>
            </w:pPr>
            <w:r w:rsidRPr="00ED01A4">
              <w:rPr>
                <w:b/>
              </w:rPr>
              <w:t>Headline Indicator</w:t>
            </w:r>
          </w:p>
        </w:tc>
        <w:tc>
          <w:tcPr>
            <w:tcW w:w="1440" w:type="dxa"/>
            <w:shd w:val="clear" w:color="auto" w:fill="D9D9D9" w:themeFill="background1" w:themeFillShade="D9"/>
          </w:tcPr>
          <w:p w:rsidR="00ED01A4" w:rsidRPr="00ED01A4" w:rsidRDefault="00ED01A4" w:rsidP="00607AF0">
            <w:pPr>
              <w:jc w:val="center"/>
              <w:rPr>
                <w:b/>
              </w:rPr>
            </w:pPr>
            <w:r w:rsidRPr="00ED01A4">
              <w:rPr>
                <w:b/>
              </w:rPr>
              <w:t>Multiagency G</w:t>
            </w:r>
            <w:r w:rsidR="00B72672">
              <w:rPr>
                <w:b/>
              </w:rPr>
              <w:t xml:space="preserve">roups </w:t>
            </w:r>
            <w:r w:rsidRPr="00ED01A4">
              <w:rPr>
                <w:b/>
              </w:rPr>
              <w:t>Related</w:t>
            </w:r>
          </w:p>
        </w:tc>
        <w:tc>
          <w:tcPr>
            <w:tcW w:w="5310" w:type="dxa"/>
            <w:shd w:val="clear" w:color="auto" w:fill="D9D9D9" w:themeFill="background1" w:themeFillShade="D9"/>
          </w:tcPr>
          <w:p w:rsidR="00ED01A4" w:rsidRPr="00ED01A4" w:rsidRDefault="00ED01A4" w:rsidP="00607AF0">
            <w:pPr>
              <w:jc w:val="center"/>
              <w:rPr>
                <w:b/>
              </w:rPr>
            </w:pPr>
            <w:r w:rsidRPr="00ED01A4">
              <w:rPr>
                <w:b/>
              </w:rPr>
              <w:t>Data Trend From Cabinet Annual Report</w:t>
            </w:r>
          </w:p>
        </w:tc>
        <w:tc>
          <w:tcPr>
            <w:tcW w:w="5400" w:type="dxa"/>
            <w:shd w:val="clear" w:color="auto" w:fill="D9D9D9" w:themeFill="background1" w:themeFillShade="D9"/>
          </w:tcPr>
          <w:p w:rsidR="00ED01A4" w:rsidRPr="00ED01A4" w:rsidRDefault="00ED01A4" w:rsidP="00607AF0">
            <w:pPr>
              <w:jc w:val="center"/>
              <w:rPr>
                <w:b/>
              </w:rPr>
            </w:pPr>
            <w:r w:rsidRPr="00ED01A4">
              <w:rPr>
                <w:b/>
              </w:rPr>
              <w:t>Data From Alternative Source</w:t>
            </w:r>
          </w:p>
        </w:tc>
        <w:tc>
          <w:tcPr>
            <w:tcW w:w="1350" w:type="dxa"/>
            <w:shd w:val="clear" w:color="auto" w:fill="D9D9D9" w:themeFill="background1" w:themeFillShade="D9"/>
          </w:tcPr>
          <w:p w:rsidR="00ED01A4" w:rsidRPr="00ED01A4" w:rsidRDefault="00ED01A4" w:rsidP="00607AF0">
            <w:pPr>
              <w:jc w:val="center"/>
              <w:rPr>
                <w:b/>
              </w:rPr>
            </w:pPr>
            <w:r w:rsidRPr="00ED01A4">
              <w:rPr>
                <w:b/>
              </w:rPr>
              <w:t>Turning the Curve?</w:t>
            </w:r>
          </w:p>
        </w:tc>
      </w:tr>
      <w:tr w:rsidR="002B4D2C" w:rsidTr="00B72672">
        <w:tc>
          <w:tcPr>
            <w:tcW w:w="1615" w:type="dxa"/>
          </w:tcPr>
          <w:p w:rsidR="0010111C" w:rsidRDefault="00E05E1E" w:rsidP="009154BA">
            <w:pPr>
              <w:rPr>
                <w:b/>
              </w:rPr>
            </w:pPr>
            <w:r>
              <w:rPr>
                <w:b/>
              </w:rPr>
              <w:t xml:space="preserve">1.2: </w:t>
            </w:r>
          </w:p>
          <w:p w:rsidR="00EB2EC9" w:rsidRPr="002B4D2C" w:rsidRDefault="00E05E1E" w:rsidP="009154BA">
            <w:pPr>
              <w:rPr>
                <w:b/>
              </w:rPr>
            </w:pPr>
            <w:r>
              <w:rPr>
                <w:b/>
              </w:rPr>
              <w:t>Children with health i</w:t>
            </w:r>
            <w:r w:rsidR="00EB2EC9" w:rsidRPr="002B4D2C">
              <w:rPr>
                <w:b/>
              </w:rPr>
              <w:t xml:space="preserve">nsurance </w:t>
            </w:r>
          </w:p>
          <w:p w:rsidR="00EB2EC9" w:rsidRDefault="00EB2EC9" w:rsidP="00607F96"/>
        </w:tc>
        <w:tc>
          <w:tcPr>
            <w:tcW w:w="1440" w:type="dxa"/>
          </w:tcPr>
          <w:p w:rsidR="00EB2EC9" w:rsidRPr="008A7D98" w:rsidRDefault="008A7D98" w:rsidP="00481D08">
            <w:r>
              <w:t>None known</w:t>
            </w:r>
          </w:p>
        </w:tc>
        <w:tc>
          <w:tcPr>
            <w:tcW w:w="5310" w:type="dxa"/>
          </w:tcPr>
          <w:p w:rsidR="002B4D2C" w:rsidRDefault="002B4D2C" w:rsidP="009154BA">
            <w:r>
              <w:rPr>
                <w:b/>
                <w:noProof/>
              </w:rPr>
              <w:drawing>
                <wp:inline distT="0" distB="0" distL="0" distR="0" wp14:anchorId="2C025667" wp14:editId="70B9847B">
                  <wp:extent cx="3295650" cy="16192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7550" w:rsidRDefault="006F7550" w:rsidP="00607F96">
            <w:pPr>
              <w:rPr>
                <w:sz w:val="20"/>
              </w:rPr>
            </w:pPr>
          </w:p>
          <w:p w:rsidR="00607F96" w:rsidRPr="00ED01A4" w:rsidRDefault="00607F96" w:rsidP="00607F96">
            <w:pPr>
              <w:rPr>
                <w:sz w:val="20"/>
              </w:rPr>
            </w:pPr>
            <w:r w:rsidRPr="00ED01A4">
              <w:rPr>
                <w:sz w:val="20"/>
              </w:rPr>
              <w:t>Indicator definition:</w:t>
            </w:r>
            <w:r w:rsidRPr="00ED01A4">
              <w:rPr>
                <w:i/>
                <w:sz w:val="20"/>
              </w:rPr>
              <w:t xml:space="preserve"> </w:t>
            </w:r>
            <w:r w:rsidRPr="00ED01A4">
              <w:rPr>
                <w:sz w:val="20"/>
              </w:rPr>
              <w:t xml:space="preserve">Children under age 18 that were </w:t>
            </w:r>
            <w:r w:rsidRPr="00ED01A4">
              <w:rPr>
                <w:sz w:val="20"/>
                <w:u w:val="single"/>
              </w:rPr>
              <w:t>not</w:t>
            </w:r>
            <w:r w:rsidRPr="00ED01A4">
              <w:rPr>
                <w:sz w:val="20"/>
              </w:rPr>
              <w:t xml:space="preserve"> covered by health insurance at any point during the year. However, percentages identified were inverted to reflect the percentage </w:t>
            </w:r>
            <w:r w:rsidRPr="00ED01A4">
              <w:rPr>
                <w:sz w:val="20"/>
                <w:u w:val="single"/>
              </w:rPr>
              <w:t>with</w:t>
            </w:r>
            <w:r w:rsidRPr="00ED01A4">
              <w:rPr>
                <w:sz w:val="20"/>
              </w:rPr>
              <w:t xml:space="preserve"> health insurance at any point during the year.  Health insurance includes private sector insurance generally provided through work, as well as insurance provided through the public sector, such as Medicare and Medicaid.  Children receiving health insurance through a variety of new State Health Insurance Programs (as applicable) are counted as having health insurance.</w:t>
            </w:r>
          </w:p>
          <w:p w:rsidR="00607F96" w:rsidRDefault="00607F96" w:rsidP="009154BA"/>
        </w:tc>
        <w:tc>
          <w:tcPr>
            <w:tcW w:w="5400" w:type="dxa"/>
          </w:tcPr>
          <w:p w:rsidR="008A7D98" w:rsidRDefault="008A7D98" w:rsidP="00D12206">
            <w:r>
              <w:t>None known</w:t>
            </w:r>
          </w:p>
          <w:p w:rsidR="008A7D98" w:rsidRDefault="008A7D98" w:rsidP="00D12206"/>
          <w:p w:rsidR="008A7D98" w:rsidRPr="008A7D98" w:rsidRDefault="008A7D98" w:rsidP="00D12206">
            <w:pPr>
              <w:rPr>
                <w:sz w:val="20"/>
                <w:szCs w:val="20"/>
              </w:rPr>
            </w:pPr>
            <w:r>
              <w:rPr>
                <w:sz w:val="20"/>
                <w:szCs w:val="20"/>
              </w:rPr>
              <w:t>Note</w:t>
            </w:r>
          </w:p>
          <w:p w:rsidR="00EF36FD" w:rsidRPr="008A7D98" w:rsidRDefault="00EF36FD" w:rsidP="00D12206">
            <w:pPr>
              <w:rPr>
                <w:sz w:val="20"/>
                <w:szCs w:val="20"/>
              </w:rPr>
            </w:pPr>
            <w:r w:rsidRPr="008A7D98">
              <w:rPr>
                <w:sz w:val="20"/>
                <w:szCs w:val="20"/>
              </w:rPr>
              <w:t>Types of Coverage for Children:</w:t>
            </w:r>
          </w:p>
          <w:p w:rsidR="001B6D4C" w:rsidRPr="008A7D98" w:rsidRDefault="007768CF" w:rsidP="008A7D98">
            <w:pPr>
              <w:pStyle w:val="ListParagraph"/>
              <w:numPr>
                <w:ilvl w:val="0"/>
                <w:numId w:val="9"/>
              </w:numPr>
              <w:rPr>
                <w:sz w:val="20"/>
                <w:szCs w:val="20"/>
              </w:rPr>
            </w:pPr>
            <w:r w:rsidRPr="008A7D98">
              <w:rPr>
                <w:sz w:val="20"/>
                <w:szCs w:val="20"/>
              </w:rPr>
              <w:t>CHIP/Kid Care (Title 21)</w:t>
            </w:r>
          </w:p>
          <w:p w:rsidR="007768CF" w:rsidRPr="008A7D98" w:rsidRDefault="007768CF" w:rsidP="008A7D98">
            <w:pPr>
              <w:pStyle w:val="ListParagraph"/>
              <w:numPr>
                <w:ilvl w:val="0"/>
                <w:numId w:val="9"/>
              </w:numPr>
              <w:rPr>
                <w:sz w:val="20"/>
                <w:szCs w:val="20"/>
              </w:rPr>
            </w:pPr>
            <w:r w:rsidRPr="008A7D98">
              <w:rPr>
                <w:sz w:val="20"/>
                <w:szCs w:val="20"/>
              </w:rPr>
              <w:t xml:space="preserve">Affordable Health Care Act Commercial Insurance </w:t>
            </w:r>
          </w:p>
          <w:p w:rsidR="007768CF" w:rsidRPr="008A7D98" w:rsidRDefault="007768CF" w:rsidP="008A7D98">
            <w:pPr>
              <w:pStyle w:val="ListParagraph"/>
              <w:numPr>
                <w:ilvl w:val="0"/>
                <w:numId w:val="9"/>
              </w:numPr>
              <w:rPr>
                <w:sz w:val="20"/>
                <w:szCs w:val="20"/>
              </w:rPr>
            </w:pPr>
            <w:r w:rsidRPr="008A7D98">
              <w:rPr>
                <w:sz w:val="20"/>
                <w:szCs w:val="20"/>
              </w:rPr>
              <w:t>Commercial Insurance</w:t>
            </w:r>
          </w:p>
          <w:p w:rsidR="007768CF" w:rsidRPr="008A7D98" w:rsidRDefault="007768CF" w:rsidP="008A7D98">
            <w:pPr>
              <w:pStyle w:val="ListParagraph"/>
              <w:numPr>
                <w:ilvl w:val="0"/>
                <w:numId w:val="9"/>
              </w:numPr>
              <w:rPr>
                <w:sz w:val="20"/>
                <w:szCs w:val="20"/>
              </w:rPr>
            </w:pPr>
            <w:r w:rsidRPr="008A7D98">
              <w:rPr>
                <w:sz w:val="20"/>
                <w:szCs w:val="20"/>
              </w:rPr>
              <w:t>Medicaid/Medikids</w:t>
            </w:r>
          </w:p>
          <w:p w:rsidR="007768CF" w:rsidRDefault="007768CF" w:rsidP="008A7D98">
            <w:pPr>
              <w:pStyle w:val="ListParagraph"/>
              <w:numPr>
                <w:ilvl w:val="0"/>
                <w:numId w:val="9"/>
              </w:numPr>
            </w:pPr>
            <w:r w:rsidRPr="008A7D98">
              <w:rPr>
                <w:sz w:val="20"/>
                <w:szCs w:val="20"/>
              </w:rPr>
              <w:t>Medicare (if disabled)</w:t>
            </w:r>
            <w:r>
              <w:t xml:space="preserve"> </w:t>
            </w:r>
          </w:p>
        </w:tc>
        <w:tc>
          <w:tcPr>
            <w:tcW w:w="1350" w:type="dxa"/>
          </w:tcPr>
          <w:p w:rsidR="00EB2EC9" w:rsidRPr="00ED01A4" w:rsidRDefault="009F2C51" w:rsidP="009154BA">
            <w:pPr>
              <w:rPr>
                <w:b/>
              </w:rPr>
            </w:pPr>
            <w:r>
              <w:rPr>
                <w:b/>
                <w:color w:val="2E74B5" w:themeColor="accent1" w:themeShade="BF"/>
              </w:rPr>
              <w:t>UNKNOWN</w:t>
            </w:r>
            <w:r w:rsidR="0050354F">
              <w:rPr>
                <w:b/>
                <w:color w:val="2E74B5" w:themeColor="accent1" w:themeShade="BF"/>
              </w:rPr>
              <w:t>, limited data</w:t>
            </w:r>
          </w:p>
        </w:tc>
      </w:tr>
    </w:tbl>
    <w:p w:rsidR="00ED01A4" w:rsidRDefault="00ED01A4">
      <w:r>
        <w:br w:type="page"/>
      </w:r>
    </w:p>
    <w:tbl>
      <w:tblPr>
        <w:tblStyle w:val="TableGrid"/>
        <w:tblW w:w="15115" w:type="dxa"/>
        <w:tblLayout w:type="fixed"/>
        <w:tblLook w:val="04A0" w:firstRow="1" w:lastRow="0" w:firstColumn="1" w:lastColumn="0" w:noHBand="0" w:noVBand="1"/>
      </w:tblPr>
      <w:tblGrid>
        <w:gridCol w:w="1615"/>
        <w:gridCol w:w="1440"/>
        <w:gridCol w:w="5400"/>
        <w:gridCol w:w="5310"/>
        <w:gridCol w:w="1350"/>
      </w:tblGrid>
      <w:tr w:rsidR="00ED01A4" w:rsidRPr="00ED01A4" w:rsidTr="00607AF0">
        <w:tc>
          <w:tcPr>
            <w:tcW w:w="15115" w:type="dxa"/>
            <w:gridSpan w:val="5"/>
            <w:shd w:val="clear" w:color="auto" w:fill="F2F2F2" w:themeFill="background1" w:themeFillShade="F2"/>
          </w:tcPr>
          <w:p w:rsidR="00ED01A4" w:rsidRPr="00ED01A4" w:rsidRDefault="00ED01A4" w:rsidP="00607AF0">
            <w:pPr>
              <w:shd w:val="clear" w:color="auto" w:fill="F2F2F2" w:themeFill="background1" w:themeFillShade="F2"/>
              <w:rPr>
                <w:b/>
              </w:rPr>
            </w:pPr>
            <w:r w:rsidRPr="00ED01A4">
              <w:rPr>
                <w:b/>
              </w:rPr>
              <w:lastRenderedPageBreak/>
              <w:t xml:space="preserve">Area of Focus: Every Florida Child is Healthy </w:t>
            </w:r>
          </w:p>
          <w:p w:rsidR="00ED01A4" w:rsidRPr="00ED01A4" w:rsidRDefault="00ED01A4" w:rsidP="00607AF0">
            <w:pPr>
              <w:shd w:val="clear" w:color="auto" w:fill="F2F2F2" w:themeFill="background1" w:themeFillShade="F2"/>
              <w:rPr>
                <w:b/>
              </w:rPr>
            </w:pPr>
          </w:p>
        </w:tc>
      </w:tr>
      <w:tr w:rsidR="00ED01A4" w:rsidRPr="00ED01A4" w:rsidTr="00BD6EEB">
        <w:tc>
          <w:tcPr>
            <w:tcW w:w="1615" w:type="dxa"/>
            <w:shd w:val="clear" w:color="auto" w:fill="D9D9D9" w:themeFill="background1" w:themeFillShade="D9"/>
          </w:tcPr>
          <w:p w:rsidR="00ED01A4" w:rsidRPr="00ED01A4" w:rsidRDefault="00ED01A4" w:rsidP="00607AF0">
            <w:pPr>
              <w:jc w:val="center"/>
              <w:rPr>
                <w:b/>
              </w:rPr>
            </w:pPr>
            <w:r w:rsidRPr="00ED01A4">
              <w:rPr>
                <w:b/>
              </w:rPr>
              <w:t>Headline Indicator</w:t>
            </w:r>
          </w:p>
        </w:tc>
        <w:tc>
          <w:tcPr>
            <w:tcW w:w="1440" w:type="dxa"/>
            <w:shd w:val="clear" w:color="auto" w:fill="D9D9D9" w:themeFill="background1" w:themeFillShade="D9"/>
          </w:tcPr>
          <w:p w:rsidR="00ED01A4" w:rsidRPr="00ED01A4" w:rsidRDefault="00ED01A4" w:rsidP="00607AF0">
            <w:pPr>
              <w:jc w:val="center"/>
              <w:rPr>
                <w:b/>
              </w:rPr>
            </w:pPr>
            <w:r w:rsidRPr="00ED01A4">
              <w:rPr>
                <w:b/>
              </w:rPr>
              <w:t>Multiagency G</w:t>
            </w:r>
            <w:r w:rsidR="00B72672">
              <w:rPr>
                <w:b/>
              </w:rPr>
              <w:t xml:space="preserve">roups </w:t>
            </w:r>
            <w:r w:rsidRPr="00ED01A4">
              <w:rPr>
                <w:b/>
              </w:rPr>
              <w:t>Related</w:t>
            </w:r>
          </w:p>
        </w:tc>
        <w:tc>
          <w:tcPr>
            <w:tcW w:w="5400" w:type="dxa"/>
            <w:shd w:val="clear" w:color="auto" w:fill="D9D9D9" w:themeFill="background1" w:themeFillShade="D9"/>
          </w:tcPr>
          <w:p w:rsidR="00ED01A4" w:rsidRPr="00ED01A4" w:rsidRDefault="00ED01A4" w:rsidP="00607AF0">
            <w:pPr>
              <w:jc w:val="center"/>
              <w:rPr>
                <w:b/>
              </w:rPr>
            </w:pPr>
            <w:r w:rsidRPr="00ED01A4">
              <w:rPr>
                <w:b/>
              </w:rPr>
              <w:t>Data Trend From Cabinet Annual Report</w:t>
            </w:r>
          </w:p>
        </w:tc>
        <w:tc>
          <w:tcPr>
            <w:tcW w:w="5310" w:type="dxa"/>
            <w:shd w:val="clear" w:color="auto" w:fill="D9D9D9" w:themeFill="background1" w:themeFillShade="D9"/>
          </w:tcPr>
          <w:p w:rsidR="00ED01A4" w:rsidRPr="00ED01A4" w:rsidRDefault="00ED01A4" w:rsidP="00607AF0">
            <w:pPr>
              <w:jc w:val="center"/>
              <w:rPr>
                <w:b/>
              </w:rPr>
            </w:pPr>
            <w:r w:rsidRPr="00ED01A4">
              <w:rPr>
                <w:b/>
              </w:rPr>
              <w:t>Data From Alternative Source</w:t>
            </w:r>
          </w:p>
        </w:tc>
        <w:tc>
          <w:tcPr>
            <w:tcW w:w="1350" w:type="dxa"/>
            <w:shd w:val="clear" w:color="auto" w:fill="D9D9D9" w:themeFill="background1" w:themeFillShade="D9"/>
          </w:tcPr>
          <w:p w:rsidR="00ED01A4" w:rsidRPr="00ED01A4" w:rsidRDefault="00ED01A4" w:rsidP="00607AF0">
            <w:pPr>
              <w:jc w:val="center"/>
              <w:rPr>
                <w:b/>
              </w:rPr>
            </w:pPr>
            <w:r w:rsidRPr="00ED01A4">
              <w:rPr>
                <w:b/>
              </w:rPr>
              <w:t>Turning the Curve?</w:t>
            </w:r>
          </w:p>
        </w:tc>
      </w:tr>
      <w:tr w:rsidR="002B4D2C" w:rsidTr="00BD6EEB">
        <w:tc>
          <w:tcPr>
            <w:tcW w:w="1615" w:type="dxa"/>
          </w:tcPr>
          <w:p w:rsidR="0010111C" w:rsidRDefault="00E05E1E" w:rsidP="009154BA">
            <w:pPr>
              <w:rPr>
                <w:b/>
              </w:rPr>
            </w:pPr>
            <w:r>
              <w:rPr>
                <w:b/>
              </w:rPr>
              <w:t xml:space="preserve">1.3: </w:t>
            </w:r>
          </w:p>
          <w:p w:rsidR="00EB2EC9" w:rsidRPr="002B4D2C" w:rsidRDefault="00E05E1E" w:rsidP="009154BA">
            <w:pPr>
              <w:rPr>
                <w:b/>
              </w:rPr>
            </w:pPr>
            <w:r>
              <w:rPr>
                <w:b/>
              </w:rPr>
              <w:t>Children with a medical h</w:t>
            </w:r>
            <w:r w:rsidR="00EB2EC9" w:rsidRPr="002B4D2C">
              <w:rPr>
                <w:b/>
              </w:rPr>
              <w:t xml:space="preserve">ome </w:t>
            </w:r>
          </w:p>
          <w:p w:rsidR="00EB2EC9" w:rsidRDefault="00EB2EC9" w:rsidP="009154BA"/>
        </w:tc>
        <w:tc>
          <w:tcPr>
            <w:tcW w:w="1440" w:type="dxa"/>
          </w:tcPr>
          <w:p w:rsidR="00557821" w:rsidRPr="008A7D98" w:rsidRDefault="00557821" w:rsidP="00654DB5">
            <w:pPr>
              <w:rPr>
                <w:sz w:val="20"/>
                <w:highlight w:val="yellow"/>
              </w:rPr>
            </w:pPr>
          </w:p>
          <w:p w:rsidR="00557821" w:rsidRPr="00557821" w:rsidRDefault="008A7D98" w:rsidP="008A7D98">
            <w:pPr>
              <w:rPr>
                <w:highlight w:val="yellow"/>
              </w:rPr>
            </w:pPr>
            <w:r>
              <w:t>None known</w:t>
            </w:r>
          </w:p>
        </w:tc>
        <w:tc>
          <w:tcPr>
            <w:tcW w:w="5400" w:type="dxa"/>
          </w:tcPr>
          <w:p w:rsidR="002B4D2C" w:rsidRDefault="002B4D2C" w:rsidP="002B4D2C">
            <w:r>
              <w:rPr>
                <w:b/>
                <w:noProof/>
              </w:rPr>
              <w:drawing>
                <wp:inline distT="0" distB="0" distL="0" distR="0" wp14:anchorId="181C6570" wp14:editId="146C2BD1">
                  <wp:extent cx="3324225" cy="1952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7F96" w:rsidRPr="00B72672" w:rsidRDefault="00607F96" w:rsidP="00B72672">
            <w:pPr>
              <w:pStyle w:val="ListParagraph"/>
              <w:ind w:left="0"/>
              <w:rPr>
                <w:rFonts w:asciiTheme="minorHAnsi" w:hAnsiTheme="minorHAnsi"/>
                <w:sz w:val="20"/>
                <w:szCs w:val="22"/>
              </w:rPr>
            </w:pPr>
            <w:r w:rsidRPr="00B72672">
              <w:rPr>
                <w:rFonts w:asciiTheme="minorHAnsi" w:hAnsiTheme="minorHAnsi"/>
                <w:sz w:val="20"/>
                <w:szCs w:val="22"/>
              </w:rPr>
              <w:t>Indicator definition:</w:t>
            </w:r>
            <w:r w:rsidRPr="00B72672">
              <w:rPr>
                <w:rFonts w:asciiTheme="minorHAnsi" w:hAnsiTheme="minorHAnsi"/>
                <w:i/>
                <w:sz w:val="20"/>
                <w:szCs w:val="22"/>
              </w:rPr>
              <w:t xml:space="preserve"> </w:t>
            </w:r>
            <w:r w:rsidRPr="00B72672">
              <w:rPr>
                <w:rFonts w:asciiTheme="minorHAnsi" w:hAnsiTheme="minorHAnsi"/>
                <w:sz w:val="20"/>
                <w:szCs w:val="22"/>
              </w:rPr>
              <w:t xml:space="preserve">Percentage of children ages 0-17 who receive health care aligned to the Academy of Pediatrics’ qualities essential to medical home care: accessible, family-centered, continuous, comprehensive, coordinated, compassionate and culturally effective.  According to the National Survey of Children’s Health, the following qualifications must be met in order to be qualified as having a medical home: </w:t>
            </w:r>
            <w:r w:rsidRPr="00B72672">
              <w:rPr>
                <w:rFonts w:asciiTheme="minorHAnsi" w:hAnsiTheme="minorHAnsi"/>
                <w:sz w:val="20"/>
                <w:szCs w:val="22"/>
                <w:shd w:val="clear" w:color="auto" w:fill="FFFFFF"/>
              </w:rPr>
              <w:t>personal doctor or nurse, usual source for care, and family-centered care. Any children who needed referrals or care coordination must also meet criteria for those components in order to qualify as having a medical home.</w:t>
            </w:r>
          </w:p>
          <w:p w:rsidR="00E233FA" w:rsidRDefault="00E233FA" w:rsidP="002B4D2C"/>
          <w:p w:rsidR="00E233FA" w:rsidRDefault="00E233FA" w:rsidP="002B4D2C"/>
        </w:tc>
        <w:tc>
          <w:tcPr>
            <w:tcW w:w="5310" w:type="dxa"/>
          </w:tcPr>
          <w:p w:rsidR="00EB2EC9" w:rsidRDefault="008A7D98" w:rsidP="009154BA">
            <w:r>
              <w:t>None known</w:t>
            </w:r>
          </w:p>
        </w:tc>
        <w:tc>
          <w:tcPr>
            <w:tcW w:w="1350" w:type="dxa"/>
          </w:tcPr>
          <w:p w:rsidR="00EB2EC9" w:rsidRDefault="009F2C51" w:rsidP="00B72672">
            <w:r>
              <w:rPr>
                <w:b/>
                <w:color w:val="2E74B5" w:themeColor="accent1" w:themeShade="BF"/>
              </w:rPr>
              <w:t>UNKNOWN</w:t>
            </w:r>
            <w:r w:rsidR="0050354F">
              <w:rPr>
                <w:b/>
                <w:color w:val="2E74B5" w:themeColor="accent1" w:themeShade="BF"/>
              </w:rPr>
              <w:t>, limited data</w:t>
            </w:r>
          </w:p>
        </w:tc>
      </w:tr>
    </w:tbl>
    <w:p w:rsidR="00607F96" w:rsidRDefault="00607F96" w:rsidP="00B72672">
      <w:r>
        <w:br w:type="page"/>
      </w:r>
    </w:p>
    <w:tbl>
      <w:tblPr>
        <w:tblStyle w:val="TableGrid"/>
        <w:tblW w:w="15295" w:type="dxa"/>
        <w:tblLayout w:type="fixed"/>
        <w:tblLook w:val="04A0" w:firstRow="1" w:lastRow="0" w:firstColumn="1" w:lastColumn="0" w:noHBand="0" w:noVBand="1"/>
      </w:tblPr>
      <w:tblGrid>
        <w:gridCol w:w="1795"/>
        <w:gridCol w:w="1440"/>
        <w:gridCol w:w="5310"/>
        <w:gridCol w:w="5220"/>
        <w:gridCol w:w="1530"/>
      </w:tblGrid>
      <w:tr w:rsidR="00EB2EC9" w:rsidTr="00BD6EEB">
        <w:tc>
          <w:tcPr>
            <w:tcW w:w="13765" w:type="dxa"/>
            <w:gridSpan w:val="4"/>
            <w:shd w:val="clear" w:color="auto" w:fill="F2F2F2" w:themeFill="background1" w:themeFillShade="F2"/>
          </w:tcPr>
          <w:p w:rsidR="00EB2EC9" w:rsidRPr="004E21C6" w:rsidRDefault="00EB2EC9" w:rsidP="009154BA">
            <w:pPr>
              <w:rPr>
                <w:b/>
              </w:rPr>
            </w:pPr>
            <w:r w:rsidRPr="004E21C6">
              <w:rPr>
                <w:b/>
              </w:rPr>
              <w:lastRenderedPageBreak/>
              <w:t xml:space="preserve">Area of Focus: Every Florida Child is Ready to Learn and Succeed </w:t>
            </w:r>
          </w:p>
          <w:p w:rsidR="00EB2EC9" w:rsidRPr="004E21C6" w:rsidRDefault="00EB2EC9" w:rsidP="009154BA">
            <w:pPr>
              <w:rPr>
                <w:b/>
              </w:rPr>
            </w:pPr>
          </w:p>
        </w:tc>
        <w:tc>
          <w:tcPr>
            <w:tcW w:w="1530" w:type="dxa"/>
            <w:shd w:val="clear" w:color="auto" w:fill="F2F2F2" w:themeFill="background1" w:themeFillShade="F2"/>
          </w:tcPr>
          <w:p w:rsidR="00EB2EC9" w:rsidRPr="004E21C6" w:rsidRDefault="00EB2EC9" w:rsidP="009154BA">
            <w:pPr>
              <w:rPr>
                <w:b/>
              </w:rPr>
            </w:pPr>
          </w:p>
        </w:tc>
      </w:tr>
      <w:tr w:rsidR="002B4D2C" w:rsidTr="00BD6EEB">
        <w:tc>
          <w:tcPr>
            <w:tcW w:w="1795" w:type="dxa"/>
            <w:shd w:val="clear" w:color="auto" w:fill="D9D9D9" w:themeFill="background1" w:themeFillShade="D9"/>
          </w:tcPr>
          <w:p w:rsidR="0094207A" w:rsidRPr="009154BA" w:rsidRDefault="00B72672" w:rsidP="00B72672">
            <w:pPr>
              <w:jc w:val="center"/>
              <w:rPr>
                <w:b/>
              </w:rPr>
            </w:pPr>
            <w:r>
              <w:rPr>
                <w:b/>
              </w:rPr>
              <w:t>Headline Indicator</w:t>
            </w:r>
          </w:p>
        </w:tc>
        <w:tc>
          <w:tcPr>
            <w:tcW w:w="1440" w:type="dxa"/>
            <w:shd w:val="clear" w:color="auto" w:fill="D9D9D9" w:themeFill="background1" w:themeFillShade="D9"/>
          </w:tcPr>
          <w:p w:rsidR="00B72672" w:rsidRDefault="00B72672" w:rsidP="00B72672">
            <w:pPr>
              <w:jc w:val="center"/>
              <w:rPr>
                <w:b/>
              </w:rPr>
            </w:pPr>
            <w:r>
              <w:rPr>
                <w:b/>
              </w:rPr>
              <w:t>Multiagency Groups</w:t>
            </w:r>
          </w:p>
          <w:p w:rsidR="0094207A" w:rsidRPr="009154BA" w:rsidRDefault="0094207A" w:rsidP="00B72672">
            <w:pPr>
              <w:jc w:val="center"/>
              <w:rPr>
                <w:b/>
              </w:rPr>
            </w:pPr>
            <w:r w:rsidRPr="009154BA">
              <w:rPr>
                <w:b/>
              </w:rPr>
              <w:t>Related</w:t>
            </w:r>
          </w:p>
        </w:tc>
        <w:tc>
          <w:tcPr>
            <w:tcW w:w="5310" w:type="dxa"/>
            <w:shd w:val="clear" w:color="auto" w:fill="D9D9D9" w:themeFill="background1" w:themeFillShade="D9"/>
          </w:tcPr>
          <w:p w:rsidR="0094207A" w:rsidRPr="009154BA" w:rsidRDefault="0094207A" w:rsidP="00B72672">
            <w:pPr>
              <w:jc w:val="center"/>
              <w:rPr>
                <w:b/>
              </w:rPr>
            </w:pPr>
            <w:r>
              <w:rPr>
                <w:b/>
              </w:rPr>
              <w:t xml:space="preserve">Data Trend From </w:t>
            </w:r>
            <w:r w:rsidR="00B72672">
              <w:rPr>
                <w:b/>
              </w:rPr>
              <w:t xml:space="preserve">Cabinet </w:t>
            </w:r>
            <w:r>
              <w:rPr>
                <w:b/>
              </w:rPr>
              <w:t>Annual Report</w:t>
            </w:r>
          </w:p>
        </w:tc>
        <w:tc>
          <w:tcPr>
            <w:tcW w:w="5220" w:type="dxa"/>
            <w:shd w:val="clear" w:color="auto" w:fill="D9D9D9" w:themeFill="background1" w:themeFillShade="D9"/>
          </w:tcPr>
          <w:p w:rsidR="0094207A" w:rsidRPr="009154BA" w:rsidRDefault="0094207A" w:rsidP="00B72672">
            <w:pPr>
              <w:jc w:val="center"/>
              <w:rPr>
                <w:b/>
              </w:rPr>
            </w:pPr>
            <w:r>
              <w:rPr>
                <w:b/>
              </w:rPr>
              <w:t>Data From Alternativ</w:t>
            </w:r>
            <w:r w:rsidR="00B72672">
              <w:rPr>
                <w:b/>
              </w:rPr>
              <w:t>e Source</w:t>
            </w:r>
          </w:p>
        </w:tc>
        <w:tc>
          <w:tcPr>
            <w:tcW w:w="1530" w:type="dxa"/>
            <w:shd w:val="clear" w:color="auto" w:fill="D9D9D9" w:themeFill="background1" w:themeFillShade="D9"/>
          </w:tcPr>
          <w:p w:rsidR="0094207A" w:rsidRPr="009154BA" w:rsidRDefault="0094207A" w:rsidP="00B72672">
            <w:pPr>
              <w:jc w:val="center"/>
              <w:rPr>
                <w:b/>
              </w:rPr>
            </w:pPr>
            <w:r>
              <w:rPr>
                <w:b/>
              </w:rPr>
              <w:t>Turning the Curve?</w:t>
            </w:r>
          </w:p>
        </w:tc>
      </w:tr>
      <w:tr w:rsidR="002B4D2C" w:rsidTr="00BD6EEB">
        <w:tc>
          <w:tcPr>
            <w:tcW w:w="1795" w:type="dxa"/>
          </w:tcPr>
          <w:p w:rsidR="0010111C" w:rsidRDefault="0094207A" w:rsidP="0094207A">
            <w:pPr>
              <w:rPr>
                <w:b/>
              </w:rPr>
            </w:pPr>
            <w:r w:rsidRPr="00E05E1E">
              <w:rPr>
                <w:b/>
              </w:rPr>
              <w:t xml:space="preserve">2.1: </w:t>
            </w:r>
          </w:p>
          <w:p w:rsidR="0094207A" w:rsidRPr="00E05E1E" w:rsidRDefault="0094207A" w:rsidP="0094207A">
            <w:pPr>
              <w:rPr>
                <w:b/>
              </w:rPr>
            </w:pPr>
            <w:r w:rsidRPr="00E05E1E">
              <w:rPr>
                <w:b/>
              </w:rPr>
              <w:t>Bir</w:t>
            </w:r>
            <w:r w:rsidR="00E05E1E">
              <w:rPr>
                <w:b/>
              </w:rPr>
              <w:t>th to women with fewer than 12 years of e</w:t>
            </w:r>
            <w:r w:rsidRPr="00E05E1E">
              <w:rPr>
                <w:b/>
              </w:rPr>
              <w:t>ducation</w:t>
            </w:r>
          </w:p>
        </w:tc>
        <w:tc>
          <w:tcPr>
            <w:tcW w:w="1440" w:type="dxa"/>
          </w:tcPr>
          <w:p w:rsidR="0094207A" w:rsidRPr="008A7D98" w:rsidRDefault="008A7D98" w:rsidP="0094207A">
            <w:r>
              <w:t>None known</w:t>
            </w:r>
          </w:p>
        </w:tc>
        <w:tc>
          <w:tcPr>
            <w:tcW w:w="5310" w:type="dxa"/>
          </w:tcPr>
          <w:p w:rsidR="00A0552C" w:rsidRDefault="00A0552C" w:rsidP="00A60459">
            <w:r>
              <w:rPr>
                <w:b/>
                <w:noProof/>
                <w:shd w:val="clear" w:color="auto" w:fill="F2F2F2" w:themeFill="background1" w:themeFillShade="F2"/>
              </w:rPr>
              <w:drawing>
                <wp:inline distT="0" distB="0" distL="0" distR="0" wp14:anchorId="195BE467" wp14:editId="75560401">
                  <wp:extent cx="3248025" cy="18764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6C5C" w:rsidRPr="00B72672" w:rsidRDefault="00816C5C" w:rsidP="00A60459">
            <w:pPr>
              <w:rPr>
                <w:sz w:val="20"/>
              </w:rPr>
            </w:pPr>
            <w:r w:rsidRPr="00B72672">
              <w:rPr>
                <w:sz w:val="20"/>
              </w:rPr>
              <w:t>Indicator definition:</w:t>
            </w:r>
            <w:r w:rsidRPr="00B72672">
              <w:rPr>
                <w:i/>
                <w:sz w:val="20"/>
              </w:rPr>
              <w:t xml:space="preserve"> </w:t>
            </w:r>
            <w:r w:rsidRPr="00B72672">
              <w:rPr>
                <w:sz w:val="20"/>
              </w:rPr>
              <w:t>Rate of births to mothers without a high school education per 1,000 births.</w:t>
            </w:r>
          </w:p>
          <w:p w:rsidR="00816C5C" w:rsidRDefault="00816C5C" w:rsidP="00A60459"/>
        </w:tc>
        <w:tc>
          <w:tcPr>
            <w:tcW w:w="5220" w:type="dxa"/>
          </w:tcPr>
          <w:p w:rsidR="0094207A" w:rsidRDefault="0094207A" w:rsidP="0094207A"/>
          <w:tbl>
            <w:tblPr>
              <w:tblStyle w:val="TableGrid"/>
              <w:tblpPr w:leftFromText="180" w:rightFromText="180" w:vertAnchor="text" w:horzAnchor="margin" w:tblpY="-226"/>
              <w:tblOverlap w:val="never"/>
              <w:tblW w:w="5305" w:type="dxa"/>
              <w:tblLayout w:type="fixed"/>
              <w:tblLook w:val="04A0" w:firstRow="1" w:lastRow="0" w:firstColumn="1" w:lastColumn="0" w:noHBand="0" w:noVBand="1"/>
            </w:tblPr>
            <w:tblGrid>
              <w:gridCol w:w="1165"/>
              <w:gridCol w:w="810"/>
              <w:gridCol w:w="810"/>
              <w:gridCol w:w="810"/>
              <w:gridCol w:w="810"/>
              <w:gridCol w:w="900"/>
            </w:tblGrid>
            <w:tr w:rsidR="00B72672" w:rsidRPr="00B72672" w:rsidTr="00607AF0">
              <w:trPr>
                <w:trHeight w:val="244"/>
              </w:trPr>
              <w:tc>
                <w:tcPr>
                  <w:tcW w:w="1165" w:type="dxa"/>
                </w:tcPr>
                <w:p w:rsidR="00B72672" w:rsidRPr="00B72672" w:rsidRDefault="00B72672" w:rsidP="00B72672">
                  <w:pPr>
                    <w:rPr>
                      <w:sz w:val="20"/>
                      <w:szCs w:val="20"/>
                    </w:rPr>
                  </w:pPr>
                  <w:r w:rsidRPr="00B72672">
                    <w:rPr>
                      <w:sz w:val="20"/>
                      <w:szCs w:val="20"/>
                    </w:rPr>
                    <w:t>Data Type</w:t>
                  </w:r>
                </w:p>
              </w:tc>
              <w:tc>
                <w:tcPr>
                  <w:tcW w:w="810" w:type="dxa"/>
                </w:tcPr>
                <w:p w:rsidR="00B72672" w:rsidRPr="00B72672" w:rsidRDefault="00B72672" w:rsidP="00B72672">
                  <w:pPr>
                    <w:rPr>
                      <w:sz w:val="20"/>
                      <w:szCs w:val="20"/>
                    </w:rPr>
                  </w:pPr>
                  <w:r w:rsidRPr="00B72672">
                    <w:rPr>
                      <w:sz w:val="20"/>
                      <w:szCs w:val="20"/>
                    </w:rPr>
                    <w:t>2009</w:t>
                  </w:r>
                </w:p>
              </w:tc>
              <w:tc>
                <w:tcPr>
                  <w:tcW w:w="810" w:type="dxa"/>
                </w:tcPr>
                <w:p w:rsidR="00B72672" w:rsidRPr="00B72672" w:rsidRDefault="00B72672" w:rsidP="00B72672">
                  <w:pPr>
                    <w:rPr>
                      <w:sz w:val="20"/>
                      <w:szCs w:val="20"/>
                    </w:rPr>
                  </w:pPr>
                  <w:r w:rsidRPr="00B72672">
                    <w:rPr>
                      <w:sz w:val="20"/>
                      <w:szCs w:val="20"/>
                    </w:rPr>
                    <w:t>2010</w:t>
                  </w:r>
                </w:p>
              </w:tc>
              <w:tc>
                <w:tcPr>
                  <w:tcW w:w="810" w:type="dxa"/>
                </w:tcPr>
                <w:p w:rsidR="00B72672" w:rsidRPr="00B72672" w:rsidRDefault="00B72672" w:rsidP="00B72672">
                  <w:pPr>
                    <w:rPr>
                      <w:sz w:val="20"/>
                      <w:szCs w:val="20"/>
                    </w:rPr>
                  </w:pPr>
                  <w:r w:rsidRPr="00B72672">
                    <w:rPr>
                      <w:sz w:val="20"/>
                      <w:szCs w:val="20"/>
                    </w:rPr>
                    <w:t>2011</w:t>
                  </w:r>
                </w:p>
              </w:tc>
              <w:tc>
                <w:tcPr>
                  <w:tcW w:w="810" w:type="dxa"/>
                </w:tcPr>
                <w:p w:rsidR="00B72672" w:rsidRPr="00B72672" w:rsidRDefault="00B72672" w:rsidP="00B72672">
                  <w:pPr>
                    <w:rPr>
                      <w:sz w:val="20"/>
                      <w:szCs w:val="20"/>
                    </w:rPr>
                  </w:pPr>
                  <w:r w:rsidRPr="00B72672">
                    <w:rPr>
                      <w:sz w:val="20"/>
                      <w:szCs w:val="20"/>
                    </w:rPr>
                    <w:t>2012</w:t>
                  </w:r>
                </w:p>
              </w:tc>
              <w:tc>
                <w:tcPr>
                  <w:tcW w:w="900" w:type="dxa"/>
                </w:tcPr>
                <w:p w:rsidR="00B72672" w:rsidRPr="00B72672" w:rsidRDefault="00B72672" w:rsidP="00B72672">
                  <w:pPr>
                    <w:rPr>
                      <w:sz w:val="20"/>
                      <w:szCs w:val="20"/>
                    </w:rPr>
                  </w:pPr>
                  <w:r w:rsidRPr="00B72672">
                    <w:rPr>
                      <w:sz w:val="20"/>
                      <w:szCs w:val="20"/>
                    </w:rPr>
                    <w:t>2013</w:t>
                  </w:r>
                </w:p>
              </w:tc>
            </w:tr>
            <w:tr w:rsidR="00B72672" w:rsidRPr="00B72672" w:rsidTr="00607AF0">
              <w:trPr>
                <w:trHeight w:val="244"/>
              </w:trPr>
              <w:tc>
                <w:tcPr>
                  <w:tcW w:w="1165" w:type="dxa"/>
                </w:tcPr>
                <w:p w:rsidR="00B72672" w:rsidRPr="00B72672" w:rsidRDefault="00B72672" w:rsidP="00B72672">
                  <w:pPr>
                    <w:rPr>
                      <w:sz w:val="20"/>
                      <w:szCs w:val="20"/>
                    </w:rPr>
                  </w:pPr>
                  <w:r w:rsidRPr="00B72672">
                    <w:rPr>
                      <w:sz w:val="20"/>
                      <w:szCs w:val="20"/>
                    </w:rPr>
                    <w:t>Number</w:t>
                  </w:r>
                </w:p>
              </w:tc>
              <w:tc>
                <w:tcPr>
                  <w:tcW w:w="810" w:type="dxa"/>
                </w:tcPr>
                <w:p w:rsidR="00B72672" w:rsidRPr="00B72672" w:rsidRDefault="00B72672" w:rsidP="00B72672">
                  <w:pPr>
                    <w:rPr>
                      <w:sz w:val="20"/>
                      <w:szCs w:val="20"/>
                    </w:rPr>
                  </w:pPr>
                  <w:r w:rsidRPr="00B72672">
                    <w:rPr>
                      <w:sz w:val="20"/>
                      <w:szCs w:val="20"/>
                    </w:rPr>
                    <w:t>41,244</w:t>
                  </w:r>
                </w:p>
              </w:tc>
              <w:tc>
                <w:tcPr>
                  <w:tcW w:w="810" w:type="dxa"/>
                </w:tcPr>
                <w:p w:rsidR="00B72672" w:rsidRPr="00B72672" w:rsidRDefault="00B72672" w:rsidP="00B72672">
                  <w:pPr>
                    <w:rPr>
                      <w:sz w:val="20"/>
                      <w:szCs w:val="20"/>
                    </w:rPr>
                  </w:pPr>
                  <w:r w:rsidRPr="00B72672">
                    <w:rPr>
                      <w:sz w:val="20"/>
                      <w:szCs w:val="20"/>
                    </w:rPr>
                    <w:t>36,697</w:t>
                  </w:r>
                </w:p>
              </w:tc>
              <w:tc>
                <w:tcPr>
                  <w:tcW w:w="810" w:type="dxa"/>
                </w:tcPr>
                <w:p w:rsidR="00B72672" w:rsidRPr="00B72672" w:rsidRDefault="00B72672" w:rsidP="00B72672">
                  <w:pPr>
                    <w:rPr>
                      <w:sz w:val="20"/>
                      <w:szCs w:val="20"/>
                    </w:rPr>
                  </w:pPr>
                  <w:r w:rsidRPr="00B72672">
                    <w:rPr>
                      <w:sz w:val="20"/>
                      <w:szCs w:val="20"/>
                    </w:rPr>
                    <w:t>34,093</w:t>
                  </w:r>
                </w:p>
              </w:tc>
              <w:tc>
                <w:tcPr>
                  <w:tcW w:w="810" w:type="dxa"/>
                </w:tcPr>
                <w:p w:rsidR="00B72672" w:rsidRPr="00B72672" w:rsidRDefault="00B72672" w:rsidP="00B72672">
                  <w:pPr>
                    <w:rPr>
                      <w:sz w:val="20"/>
                      <w:szCs w:val="20"/>
                    </w:rPr>
                  </w:pPr>
                  <w:r w:rsidRPr="00B72672">
                    <w:rPr>
                      <w:sz w:val="20"/>
                      <w:szCs w:val="20"/>
                    </w:rPr>
                    <w:t>32,418</w:t>
                  </w:r>
                </w:p>
              </w:tc>
              <w:tc>
                <w:tcPr>
                  <w:tcW w:w="900" w:type="dxa"/>
                </w:tcPr>
                <w:p w:rsidR="00B72672" w:rsidRPr="00B72672" w:rsidRDefault="00B72672" w:rsidP="00B72672">
                  <w:pPr>
                    <w:rPr>
                      <w:sz w:val="20"/>
                      <w:szCs w:val="20"/>
                    </w:rPr>
                  </w:pPr>
                  <w:r w:rsidRPr="00B72672">
                    <w:rPr>
                      <w:sz w:val="20"/>
                      <w:szCs w:val="20"/>
                    </w:rPr>
                    <w:t>30,764</w:t>
                  </w:r>
                </w:p>
              </w:tc>
            </w:tr>
            <w:tr w:rsidR="00B72672" w:rsidRPr="00B72672" w:rsidTr="00607AF0">
              <w:trPr>
                <w:trHeight w:val="244"/>
              </w:trPr>
              <w:tc>
                <w:tcPr>
                  <w:tcW w:w="1165" w:type="dxa"/>
                </w:tcPr>
                <w:p w:rsidR="00B72672" w:rsidRPr="00B72672" w:rsidRDefault="00B72672" w:rsidP="00B72672">
                  <w:pPr>
                    <w:rPr>
                      <w:sz w:val="20"/>
                      <w:szCs w:val="20"/>
                    </w:rPr>
                  </w:pPr>
                  <w:r w:rsidRPr="00B72672">
                    <w:rPr>
                      <w:sz w:val="20"/>
                      <w:szCs w:val="20"/>
                    </w:rPr>
                    <w:t>Percent</w:t>
                  </w:r>
                </w:p>
              </w:tc>
              <w:tc>
                <w:tcPr>
                  <w:tcW w:w="810" w:type="dxa"/>
                </w:tcPr>
                <w:p w:rsidR="00B72672" w:rsidRPr="00B72672" w:rsidRDefault="00B72672" w:rsidP="00B72672">
                  <w:pPr>
                    <w:rPr>
                      <w:sz w:val="20"/>
                      <w:szCs w:val="20"/>
                    </w:rPr>
                  </w:pPr>
                  <w:r w:rsidRPr="00B72672">
                    <w:rPr>
                      <w:sz w:val="20"/>
                      <w:szCs w:val="20"/>
                    </w:rPr>
                    <w:t>19%</w:t>
                  </w:r>
                </w:p>
              </w:tc>
              <w:tc>
                <w:tcPr>
                  <w:tcW w:w="810" w:type="dxa"/>
                </w:tcPr>
                <w:p w:rsidR="00B72672" w:rsidRPr="00B72672" w:rsidRDefault="00B72672" w:rsidP="00B72672">
                  <w:pPr>
                    <w:rPr>
                      <w:sz w:val="20"/>
                      <w:szCs w:val="20"/>
                    </w:rPr>
                  </w:pPr>
                  <w:r w:rsidRPr="00B72672">
                    <w:rPr>
                      <w:sz w:val="20"/>
                      <w:szCs w:val="20"/>
                    </w:rPr>
                    <w:t>17%</w:t>
                  </w:r>
                </w:p>
              </w:tc>
              <w:tc>
                <w:tcPr>
                  <w:tcW w:w="810" w:type="dxa"/>
                </w:tcPr>
                <w:p w:rsidR="00B72672" w:rsidRPr="00B72672" w:rsidRDefault="00B72672" w:rsidP="00B72672">
                  <w:pPr>
                    <w:rPr>
                      <w:sz w:val="20"/>
                      <w:szCs w:val="20"/>
                    </w:rPr>
                  </w:pPr>
                  <w:r w:rsidRPr="00B72672">
                    <w:rPr>
                      <w:sz w:val="20"/>
                      <w:szCs w:val="20"/>
                    </w:rPr>
                    <w:t>16%</w:t>
                  </w:r>
                </w:p>
              </w:tc>
              <w:tc>
                <w:tcPr>
                  <w:tcW w:w="810" w:type="dxa"/>
                </w:tcPr>
                <w:p w:rsidR="00B72672" w:rsidRPr="00B72672" w:rsidRDefault="00B72672" w:rsidP="00B72672">
                  <w:pPr>
                    <w:rPr>
                      <w:sz w:val="20"/>
                      <w:szCs w:val="20"/>
                    </w:rPr>
                  </w:pPr>
                  <w:r w:rsidRPr="00B72672">
                    <w:rPr>
                      <w:sz w:val="20"/>
                      <w:szCs w:val="20"/>
                    </w:rPr>
                    <w:t>15%</w:t>
                  </w:r>
                </w:p>
              </w:tc>
              <w:tc>
                <w:tcPr>
                  <w:tcW w:w="900" w:type="dxa"/>
                </w:tcPr>
                <w:p w:rsidR="00B72672" w:rsidRPr="00B72672" w:rsidRDefault="00B72672" w:rsidP="00B72672">
                  <w:pPr>
                    <w:rPr>
                      <w:sz w:val="20"/>
                      <w:szCs w:val="20"/>
                    </w:rPr>
                  </w:pPr>
                  <w:r w:rsidRPr="00B72672">
                    <w:rPr>
                      <w:sz w:val="20"/>
                      <w:szCs w:val="20"/>
                    </w:rPr>
                    <w:t>14%</w:t>
                  </w:r>
                </w:p>
              </w:tc>
            </w:tr>
          </w:tbl>
          <w:p w:rsidR="00A0552C" w:rsidRDefault="00A0552C" w:rsidP="00A0552C">
            <w:pPr>
              <w:rPr>
                <w:sz w:val="20"/>
              </w:rPr>
            </w:pPr>
            <w:r w:rsidRPr="00D16BBE">
              <w:rPr>
                <w:sz w:val="20"/>
              </w:rPr>
              <w:t xml:space="preserve">Definitions: Births to women who had completed fewer than 12 years of education at the time of the birth. </w:t>
            </w:r>
          </w:p>
          <w:p w:rsidR="00B72672" w:rsidRPr="00D16BBE" w:rsidRDefault="00B72672" w:rsidP="00A0552C">
            <w:pPr>
              <w:rPr>
                <w:sz w:val="20"/>
              </w:rPr>
            </w:pPr>
          </w:p>
          <w:p w:rsidR="00A0552C" w:rsidRDefault="00A0552C" w:rsidP="00A0552C">
            <w:r w:rsidRPr="00D16BBE">
              <w:rPr>
                <w:sz w:val="20"/>
              </w:rPr>
              <w:t>Data Source: 2007-20133 Population Reference Bureau analysis of Centers for Disease Control and Prevention (CDC), National Center for Health Statistics (NCHS). 2003 - 2006 Child Trends analysis of NCHS Final Birth microdata files.</w:t>
            </w:r>
          </w:p>
        </w:tc>
        <w:tc>
          <w:tcPr>
            <w:tcW w:w="1530" w:type="dxa"/>
          </w:tcPr>
          <w:p w:rsidR="0094207A" w:rsidRPr="0020104A" w:rsidRDefault="00B72672" w:rsidP="0094207A">
            <w:pPr>
              <w:rPr>
                <w:b/>
              </w:rPr>
            </w:pPr>
            <w:r w:rsidRPr="0020104A">
              <w:rPr>
                <w:b/>
                <w:color w:val="0070C0"/>
              </w:rPr>
              <w:t>YES, slow and stead</w:t>
            </w:r>
            <w:r w:rsidR="00A0552C" w:rsidRPr="0020104A">
              <w:rPr>
                <w:b/>
                <w:color w:val="0070C0"/>
              </w:rPr>
              <w:t>y</w:t>
            </w:r>
            <w:r w:rsidRPr="0020104A">
              <w:rPr>
                <w:b/>
                <w:color w:val="0070C0"/>
              </w:rPr>
              <w:t xml:space="preserve"> improvement</w:t>
            </w:r>
          </w:p>
        </w:tc>
      </w:tr>
    </w:tbl>
    <w:p w:rsidR="00B72672" w:rsidRDefault="00B72672">
      <w:r>
        <w:br w:type="page"/>
      </w:r>
    </w:p>
    <w:tbl>
      <w:tblPr>
        <w:tblStyle w:val="TableGrid"/>
        <w:tblW w:w="15295" w:type="dxa"/>
        <w:tblLayout w:type="fixed"/>
        <w:tblLook w:val="04A0" w:firstRow="1" w:lastRow="0" w:firstColumn="1" w:lastColumn="0" w:noHBand="0" w:noVBand="1"/>
      </w:tblPr>
      <w:tblGrid>
        <w:gridCol w:w="1795"/>
        <w:gridCol w:w="1440"/>
        <w:gridCol w:w="5310"/>
        <w:gridCol w:w="5220"/>
        <w:gridCol w:w="1530"/>
      </w:tblGrid>
      <w:tr w:rsidR="00B72672" w:rsidRPr="004E21C6" w:rsidTr="00BD6EEB">
        <w:tc>
          <w:tcPr>
            <w:tcW w:w="13765" w:type="dxa"/>
            <w:gridSpan w:val="4"/>
            <w:shd w:val="clear" w:color="auto" w:fill="F2F2F2" w:themeFill="background1" w:themeFillShade="F2"/>
          </w:tcPr>
          <w:p w:rsidR="00B72672" w:rsidRPr="004E21C6" w:rsidRDefault="00B72672" w:rsidP="00607AF0">
            <w:pPr>
              <w:rPr>
                <w:b/>
              </w:rPr>
            </w:pPr>
            <w:r w:rsidRPr="004E21C6">
              <w:rPr>
                <w:b/>
              </w:rPr>
              <w:lastRenderedPageBreak/>
              <w:t xml:space="preserve">Area of Focus: Every Florida Child is Ready to Learn and Succeed </w:t>
            </w:r>
          </w:p>
          <w:p w:rsidR="00B72672" w:rsidRPr="004E21C6" w:rsidRDefault="00B72672" w:rsidP="00607AF0">
            <w:pPr>
              <w:rPr>
                <w:b/>
              </w:rPr>
            </w:pPr>
          </w:p>
        </w:tc>
        <w:tc>
          <w:tcPr>
            <w:tcW w:w="1530" w:type="dxa"/>
            <w:shd w:val="clear" w:color="auto" w:fill="F2F2F2" w:themeFill="background1" w:themeFillShade="F2"/>
          </w:tcPr>
          <w:p w:rsidR="00B72672" w:rsidRPr="004E21C6" w:rsidRDefault="00B72672" w:rsidP="00607AF0">
            <w:pPr>
              <w:rPr>
                <w:b/>
              </w:rPr>
            </w:pPr>
          </w:p>
        </w:tc>
      </w:tr>
      <w:tr w:rsidR="00B72672" w:rsidRPr="009154BA" w:rsidTr="00BD6EEB">
        <w:tc>
          <w:tcPr>
            <w:tcW w:w="1795" w:type="dxa"/>
            <w:shd w:val="clear" w:color="auto" w:fill="D9D9D9" w:themeFill="background1" w:themeFillShade="D9"/>
          </w:tcPr>
          <w:p w:rsidR="00B72672" w:rsidRPr="009154BA" w:rsidRDefault="00B72672" w:rsidP="00607AF0">
            <w:pPr>
              <w:jc w:val="center"/>
              <w:rPr>
                <w:b/>
              </w:rPr>
            </w:pPr>
            <w:r>
              <w:rPr>
                <w:b/>
              </w:rPr>
              <w:t>Headline Indicator</w:t>
            </w:r>
          </w:p>
        </w:tc>
        <w:tc>
          <w:tcPr>
            <w:tcW w:w="1440" w:type="dxa"/>
            <w:shd w:val="clear" w:color="auto" w:fill="D9D9D9" w:themeFill="background1" w:themeFillShade="D9"/>
          </w:tcPr>
          <w:p w:rsidR="00B72672" w:rsidRDefault="00B72672" w:rsidP="00607AF0">
            <w:pPr>
              <w:jc w:val="center"/>
              <w:rPr>
                <w:b/>
              </w:rPr>
            </w:pPr>
            <w:r>
              <w:rPr>
                <w:b/>
              </w:rPr>
              <w:t>Multiagency Groups</w:t>
            </w:r>
          </w:p>
          <w:p w:rsidR="00B72672" w:rsidRPr="009154BA" w:rsidRDefault="00B72672" w:rsidP="00607AF0">
            <w:pPr>
              <w:jc w:val="center"/>
              <w:rPr>
                <w:b/>
              </w:rPr>
            </w:pPr>
            <w:r w:rsidRPr="009154BA">
              <w:rPr>
                <w:b/>
              </w:rPr>
              <w:t>Related</w:t>
            </w:r>
          </w:p>
        </w:tc>
        <w:tc>
          <w:tcPr>
            <w:tcW w:w="5310" w:type="dxa"/>
            <w:shd w:val="clear" w:color="auto" w:fill="D9D9D9" w:themeFill="background1" w:themeFillShade="D9"/>
          </w:tcPr>
          <w:p w:rsidR="00B72672" w:rsidRPr="009154BA" w:rsidRDefault="00B72672" w:rsidP="00607AF0">
            <w:pPr>
              <w:jc w:val="center"/>
              <w:rPr>
                <w:b/>
              </w:rPr>
            </w:pPr>
            <w:r>
              <w:rPr>
                <w:b/>
              </w:rPr>
              <w:t>Data Trend From Cabinet Annual Report</w:t>
            </w:r>
          </w:p>
        </w:tc>
        <w:tc>
          <w:tcPr>
            <w:tcW w:w="5220" w:type="dxa"/>
            <w:shd w:val="clear" w:color="auto" w:fill="D9D9D9" w:themeFill="background1" w:themeFillShade="D9"/>
          </w:tcPr>
          <w:p w:rsidR="00B72672" w:rsidRPr="009154BA" w:rsidRDefault="00B72672" w:rsidP="00607AF0">
            <w:pPr>
              <w:jc w:val="center"/>
              <w:rPr>
                <w:b/>
              </w:rPr>
            </w:pPr>
            <w:r>
              <w:rPr>
                <w:b/>
              </w:rPr>
              <w:t>Data From Alternative Source</w:t>
            </w:r>
          </w:p>
        </w:tc>
        <w:tc>
          <w:tcPr>
            <w:tcW w:w="1530" w:type="dxa"/>
            <w:shd w:val="clear" w:color="auto" w:fill="D9D9D9" w:themeFill="background1" w:themeFillShade="D9"/>
          </w:tcPr>
          <w:p w:rsidR="00B72672" w:rsidRPr="009154BA" w:rsidRDefault="00B72672" w:rsidP="00607AF0">
            <w:pPr>
              <w:jc w:val="center"/>
              <w:rPr>
                <w:b/>
              </w:rPr>
            </w:pPr>
            <w:r>
              <w:rPr>
                <w:b/>
              </w:rPr>
              <w:t>Turning the Curve?</w:t>
            </w:r>
          </w:p>
        </w:tc>
      </w:tr>
      <w:tr w:rsidR="002B4D2C" w:rsidTr="00BD6EEB">
        <w:tc>
          <w:tcPr>
            <w:tcW w:w="1795" w:type="dxa"/>
          </w:tcPr>
          <w:p w:rsidR="0010111C" w:rsidRDefault="00E05E1E" w:rsidP="0094207A">
            <w:pPr>
              <w:rPr>
                <w:b/>
              </w:rPr>
            </w:pPr>
            <w:r>
              <w:rPr>
                <w:b/>
              </w:rPr>
              <w:t xml:space="preserve">2.2: </w:t>
            </w:r>
          </w:p>
          <w:p w:rsidR="0094207A" w:rsidRPr="00E05E1E" w:rsidRDefault="00E05E1E" w:rsidP="0094207A">
            <w:pPr>
              <w:rPr>
                <w:b/>
              </w:rPr>
            </w:pPr>
            <w:r>
              <w:rPr>
                <w:b/>
              </w:rPr>
              <w:t>Children who are read to by their parents or relative c</w:t>
            </w:r>
            <w:r w:rsidR="0094207A" w:rsidRPr="00E05E1E">
              <w:rPr>
                <w:b/>
              </w:rPr>
              <w:t>aregivers</w:t>
            </w:r>
          </w:p>
        </w:tc>
        <w:tc>
          <w:tcPr>
            <w:tcW w:w="1440" w:type="dxa"/>
          </w:tcPr>
          <w:p w:rsidR="0094207A" w:rsidRDefault="008A7D98" w:rsidP="0094207A">
            <w:r>
              <w:t>None known</w:t>
            </w:r>
          </w:p>
        </w:tc>
        <w:tc>
          <w:tcPr>
            <w:tcW w:w="5310" w:type="dxa"/>
          </w:tcPr>
          <w:p w:rsidR="00E233FA" w:rsidRDefault="00E233FA" w:rsidP="0094207A">
            <w:r>
              <w:rPr>
                <w:b/>
                <w:noProof/>
                <w:shd w:val="clear" w:color="auto" w:fill="F2F2F2" w:themeFill="background1" w:themeFillShade="F2"/>
              </w:rPr>
              <w:drawing>
                <wp:inline distT="0" distB="0" distL="0" distR="0" wp14:anchorId="6649CD15" wp14:editId="384D8415">
                  <wp:extent cx="3248025" cy="18764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2672" w:rsidRDefault="00B72672" w:rsidP="00816C5C">
            <w:pPr>
              <w:rPr>
                <w:sz w:val="20"/>
              </w:rPr>
            </w:pPr>
          </w:p>
          <w:p w:rsidR="00816C5C" w:rsidRPr="00B72672" w:rsidRDefault="00816C5C" w:rsidP="00816C5C">
            <w:pPr>
              <w:rPr>
                <w:sz w:val="20"/>
              </w:rPr>
            </w:pPr>
            <w:r w:rsidRPr="00B72672">
              <w:rPr>
                <w:sz w:val="20"/>
              </w:rPr>
              <w:t>Indicator definition</w:t>
            </w:r>
            <w:r w:rsidRPr="00B72672">
              <w:rPr>
                <w:i/>
                <w:sz w:val="20"/>
              </w:rPr>
              <w:t xml:space="preserve">: </w:t>
            </w:r>
            <w:r w:rsidRPr="00B72672">
              <w:rPr>
                <w:sz w:val="20"/>
              </w:rPr>
              <w:t>Percentage of children ages 0-5 whose family members read stories to them on a daily basis.</w:t>
            </w:r>
          </w:p>
          <w:p w:rsidR="00816C5C" w:rsidRDefault="00816C5C" w:rsidP="0094207A"/>
        </w:tc>
        <w:tc>
          <w:tcPr>
            <w:tcW w:w="5220" w:type="dxa"/>
          </w:tcPr>
          <w:tbl>
            <w:tblPr>
              <w:tblStyle w:val="TableGrid"/>
              <w:tblpPr w:leftFromText="180" w:rightFromText="180" w:vertAnchor="text" w:horzAnchor="margin" w:tblpY="-226"/>
              <w:tblOverlap w:val="never"/>
              <w:tblW w:w="4315" w:type="dxa"/>
              <w:tblLayout w:type="fixed"/>
              <w:tblLook w:val="04A0" w:firstRow="1" w:lastRow="0" w:firstColumn="1" w:lastColumn="0" w:noHBand="0" w:noVBand="1"/>
            </w:tblPr>
            <w:tblGrid>
              <w:gridCol w:w="1230"/>
              <w:gridCol w:w="829"/>
              <w:gridCol w:w="829"/>
              <w:gridCol w:w="1427"/>
            </w:tblGrid>
            <w:tr w:rsidR="00676D79" w:rsidRPr="00074F1F" w:rsidTr="00607AF0">
              <w:tc>
                <w:tcPr>
                  <w:tcW w:w="1230" w:type="dxa"/>
                </w:tcPr>
                <w:p w:rsidR="00676D79" w:rsidRPr="00074F1F" w:rsidRDefault="00676D79" w:rsidP="00676D79">
                  <w:r w:rsidRPr="00074F1F">
                    <w:t>Data Type</w:t>
                  </w:r>
                </w:p>
              </w:tc>
              <w:tc>
                <w:tcPr>
                  <w:tcW w:w="829" w:type="dxa"/>
                </w:tcPr>
                <w:p w:rsidR="00676D79" w:rsidRPr="00074F1F" w:rsidRDefault="00676D79" w:rsidP="00676D79">
                  <w:r>
                    <w:t>2003</w:t>
                  </w:r>
                </w:p>
              </w:tc>
              <w:tc>
                <w:tcPr>
                  <w:tcW w:w="829" w:type="dxa"/>
                </w:tcPr>
                <w:p w:rsidR="00676D79" w:rsidRPr="00074F1F" w:rsidRDefault="00676D79" w:rsidP="00676D79">
                  <w:r>
                    <w:t>2007</w:t>
                  </w:r>
                </w:p>
              </w:tc>
              <w:tc>
                <w:tcPr>
                  <w:tcW w:w="1427" w:type="dxa"/>
                </w:tcPr>
                <w:p w:rsidR="00676D79" w:rsidRPr="00074F1F" w:rsidRDefault="00676D79" w:rsidP="00676D79">
                  <w:r w:rsidRPr="00074F1F">
                    <w:t>2011</w:t>
                  </w:r>
                  <w:r>
                    <w:t>-2012</w:t>
                  </w:r>
                </w:p>
              </w:tc>
            </w:tr>
            <w:tr w:rsidR="00676D79" w:rsidRPr="00074F1F" w:rsidTr="00607AF0">
              <w:tc>
                <w:tcPr>
                  <w:tcW w:w="1230" w:type="dxa"/>
                </w:tcPr>
                <w:p w:rsidR="00676D79" w:rsidRPr="00074F1F" w:rsidRDefault="00676D79" w:rsidP="00676D79">
                  <w:r w:rsidRPr="00074F1F">
                    <w:t>Percent</w:t>
                  </w:r>
                </w:p>
              </w:tc>
              <w:tc>
                <w:tcPr>
                  <w:tcW w:w="829" w:type="dxa"/>
                </w:tcPr>
                <w:p w:rsidR="00676D79" w:rsidRPr="00074F1F" w:rsidRDefault="00676D79" w:rsidP="00676D79">
                  <w:r>
                    <w:t>19%</w:t>
                  </w:r>
                </w:p>
              </w:tc>
              <w:tc>
                <w:tcPr>
                  <w:tcW w:w="829" w:type="dxa"/>
                </w:tcPr>
                <w:p w:rsidR="00676D79" w:rsidRPr="00074F1F" w:rsidRDefault="00676D79" w:rsidP="00676D79">
                  <w:r>
                    <w:t>13%</w:t>
                  </w:r>
                </w:p>
              </w:tc>
              <w:tc>
                <w:tcPr>
                  <w:tcW w:w="1427" w:type="dxa"/>
                </w:tcPr>
                <w:p w:rsidR="00676D79" w:rsidRPr="00074F1F" w:rsidRDefault="00676D79" w:rsidP="00676D79">
                  <w:r>
                    <w:t>17%</w:t>
                  </w:r>
                </w:p>
              </w:tc>
            </w:tr>
          </w:tbl>
          <w:p w:rsidR="0094207A" w:rsidRDefault="0094207A" w:rsidP="0094207A"/>
          <w:p w:rsidR="00676D79" w:rsidRDefault="00676D79" w:rsidP="0094207A"/>
          <w:p w:rsidR="00676D79" w:rsidRDefault="00676D79" w:rsidP="0094207A"/>
          <w:p w:rsidR="00676D79" w:rsidRPr="00676D79" w:rsidRDefault="00676D79" w:rsidP="00FF7DF3">
            <w:pPr>
              <w:shd w:val="clear" w:color="auto" w:fill="FFFFFF" w:themeFill="background1"/>
              <w:spacing w:after="150" w:line="225" w:lineRule="atLeast"/>
              <w:rPr>
                <w:rFonts w:eastAsia="Times New Roman" w:cs="Times New Roman"/>
                <w:color w:val="333333"/>
                <w:sz w:val="20"/>
                <w:szCs w:val="20"/>
              </w:rPr>
            </w:pPr>
            <w:r w:rsidRPr="00FF7DF3">
              <w:rPr>
                <w:rFonts w:eastAsia="Times New Roman" w:cs="Times New Roman"/>
                <w:bCs/>
                <w:color w:val="333333"/>
                <w:sz w:val="20"/>
                <w:szCs w:val="20"/>
              </w:rPr>
              <w:t>Definitions:</w:t>
            </w:r>
            <w:r w:rsidRPr="00676D79">
              <w:rPr>
                <w:rFonts w:eastAsia="Times New Roman" w:cs="Times New Roman"/>
                <w:color w:val="333333"/>
                <w:sz w:val="20"/>
                <w:szCs w:val="20"/>
              </w:rPr>
              <w:t xml:space="preserve"> Children ages 1 to 5 whose family members read to them less than 3 days per week. </w:t>
            </w:r>
          </w:p>
          <w:p w:rsidR="00676D79" w:rsidRPr="00676D79" w:rsidRDefault="00676D79" w:rsidP="00FF7DF3">
            <w:pPr>
              <w:shd w:val="clear" w:color="auto" w:fill="FFFFFF" w:themeFill="background1"/>
              <w:spacing w:after="150" w:line="225" w:lineRule="atLeast"/>
              <w:rPr>
                <w:rFonts w:eastAsia="Times New Roman" w:cs="Times New Roman"/>
                <w:color w:val="333333"/>
                <w:sz w:val="20"/>
                <w:szCs w:val="20"/>
              </w:rPr>
            </w:pPr>
            <w:r w:rsidRPr="00FF7DF3">
              <w:rPr>
                <w:rFonts w:eastAsia="Times New Roman" w:cs="Times New Roman"/>
                <w:bCs/>
                <w:color w:val="333333"/>
                <w:sz w:val="20"/>
                <w:szCs w:val="20"/>
              </w:rPr>
              <w:t>Data Source:</w:t>
            </w:r>
            <w:r w:rsidRPr="00676D79">
              <w:rPr>
                <w:rFonts w:eastAsia="Times New Roman" w:cs="Times New Roman"/>
                <w:color w:val="333333"/>
                <w:sz w:val="20"/>
                <w:szCs w:val="20"/>
              </w:rPr>
              <w:t xml:space="preserve"> Child Trends analysis of data from the U.S. Department of Health and Human Services, Health Resources and Services Administration, Maternal and Child Health Bureau, Nation</w:t>
            </w:r>
            <w:r w:rsidR="00FF7DF3">
              <w:rPr>
                <w:rFonts w:eastAsia="Times New Roman" w:cs="Times New Roman"/>
                <w:color w:val="333333"/>
                <w:sz w:val="20"/>
                <w:szCs w:val="20"/>
              </w:rPr>
              <w:t>al Survey of Children’s Health.</w:t>
            </w:r>
          </w:p>
          <w:p w:rsidR="00676D79" w:rsidRPr="00676D79" w:rsidRDefault="00676D79" w:rsidP="00FF7DF3">
            <w:pPr>
              <w:shd w:val="clear" w:color="auto" w:fill="FFFFFF" w:themeFill="background1"/>
              <w:spacing w:line="225" w:lineRule="atLeast"/>
              <w:rPr>
                <w:rFonts w:eastAsia="Times New Roman" w:cs="Times New Roman"/>
                <w:color w:val="333333"/>
                <w:sz w:val="20"/>
                <w:szCs w:val="20"/>
              </w:rPr>
            </w:pPr>
            <w:r w:rsidRPr="00676D79">
              <w:rPr>
                <w:rFonts w:eastAsia="Times New Roman" w:cs="Times New Roman"/>
                <w:color w:val="333333"/>
                <w:sz w:val="20"/>
                <w:szCs w:val="20"/>
              </w:rPr>
              <w:t xml:space="preserve">The state-level data used here come from the National Survey of Children’s Health (NSCH). The NSCH includes information on over 102,000 children under age 18, with roughly 2,000 children per state. Households were selected through a random-digit-dial sample, and one child was randomly selected in each household. Information on each child is based on responses of the parent or guardian in the household who was most knowledgeable about the sampled child’s health. Information was collected via a computer-assisted telephone interview. For more information on the NSCH, see </w:t>
            </w:r>
            <w:hyperlink r:id="rId13" w:history="1">
              <w:r w:rsidRPr="00676D79">
                <w:rPr>
                  <w:rFonts w:eastAsia="Times New Roman" w:cs="Times New Roman"/>
                  <w:color w:val="276492"/>
                  <w:sz w:val="20"/>
                  <w:szCs w:val="20"/>
                  <w:bdr w:val="none" w:sz="0" w:space="0" w:color="auto" w:frame="1"/>
                </w:rPr>
                <w:t>http://www.cdc.gov/nchs/about/major/slaits/nsch.htm</w:t>
              </w:r>
            </w:hyperlink>
            <w:r w:rsidRPr="00676D79">
              <w:rPr>
                <w:rFonts w:eastAsia="Times New Roman" w:cs="Times New Roman"/>
                <w:color w:val="333333"/>
                <w:sz w:val="20"/>
                <w:szCs w:val="20"/>
              </w:rPr>
              <w:t>.</w:t>
            </w:r>
          </w:p>
          <w:p w:rsidR="00676D79" w:rsidRDefault="00676D79" w:rsidP="0094207A"/>
        </w:tc>
        <w:tc>
          <w:tcPr>
            <w:tcW w:w="1530" w:type="dxa"/>
          </w:tcPr>
          <w:p w:rsidR="0094207A" w:rsidRPr="0020104A" w:rsidRDefault="009F2C51" w:rsidP="00B72672">
            <w:pPr>
              <w:rPr>
                <w:b/>
              </w:rPr>
            </w:pPr>
            <w:r>
              <w:rPr>
                <w:b/>
                <w:color w:val="0070C0"/>
              </w:rPr>
              <w:t>UNKNOWN</w:t>
            </w:r>
            <w:r w:rsidR="00B72672" w:rsidRPr="0020104A">
              <w:rPr>
                <w:b/>
                <w:color w:val="0070C0"/>
              </w:rPr>
              <w:t>, c</w:t>
            </w:r>
            <w:r w:rsidR="00676D79" w:rsidRPr="0020104A">
              <w:rPr>
                <w:b/>
                <w:color w:val="0070C0"/>
              </w:rPr>
              <w:t xml:space="preserve">onflicting </w:t>
            </w:r>
            <w:r w:rsidR="00B72672" w:rsidRPr="0020104A">
              <w:rPr>
                <w:b/>
                <w:color w:val="0070C0"/>
              </w:rPr>
              <w:t>d</w:t>
            </w:r>
            <w:r w:rsidR="00676D79" w:rsidRPr="0020104A">
              <w:rPr>
                <w:b/>
                <w:color w:val="0070C0"/>
              </w:rPr>
              <w:t>ata</w:t>
            </w:r>
          </w:p>
        </w:tc>
      </w:tr>
    </w:tbl>
    <w:p w:rsidR="00B72672" w:rsidRDefault="00B72672">
      <w:r>
        <w:br w:type="page"/>
      </w:r>
    </w:p>
    <w:tbl>
      <w:tblPr>
        <w:tblStyle w:val="TableGrid"/>
        <w:tblW w:w="15295" w:type="dxa"/>
        <w:tblLayout w:type="fixed"/>
        <w:tblLook w:val="04A0" w:firstRow="1" w:lastRow="0" w:firstColumn="1" w:lastColumn="0" w:noHBand="0" w:noVBand="1"/>
      </w:tblPr>
      <w:tblGrid>
        <w:gridCol w:w="1795"/>
        <w:gridCol w:w="1440"/>
        <w:gridCol w:w="5310"/>
        <w:gridCol w:w="5220"/>
        <w:gridCol w:w="1530"/>
      </w:tblGrid>
      <w:tr w:rsidR="00B72672" w:rsidRPr="004E21C6" w:rsidTr="00BD6EEB">
        <w:tc>
          <w:tcPr>
            <w:tcW w:w="13765" w:type="dxa"/>
            <w:gridSpan w:val="4"/>
            <w:shd w:val="clear" w:color="auto" w:fill="F2F2F2" w:themeFill="background1" w:themeFillShade="F2"/>
          </w:tcPr>
          <w:p w:rsidR="00B72672" w:rsidRPr="004E21C6" w:rsidRDefault="00B72672" w:rsidP="00607AF0">
            <w:pPr>
              <w:rPr>
                <w:b/>
              </w:rPr>
            </w:pPr>
            <w:r w:rsidRPr="004E21C6">
              <w:rPr>
                <w:b/>
              </w:rPr>
              <w:lastRenderedPageBreak/>
              <w:t xml:space="preserve">Area of Focus: Every Florida Child is Ready to Learn and Succeed </w:t>
            </w:r>
          </w:p>
          <w:p w:rsidR="00B72672" w:rsidRPr="004E21C6" w:rsidRDefault="00B72672" w:rsidP="00607AF0">
            <w:pPr>
              <w:rPr>
                <w:b/>
              </w:rPr>
            </w:pPr>
          </w:p>
        </w:tc>
        <w:tc>
          <w:tcPr>
            <w:tcW w:w="1530" w:type="dxa"/>
            <w:shd w:val="clear" w:color="auto" w:fill="F2F2F2" w:themeFill="background1" w:themeFillShade="F2"/>
          </w:tcPr>
          <w:p w:rsidR="00B72672" w:rsidRPr="004E21C6" w:rsidRDefault="00B72672" w:rsidP="00607AF0">
            <w:pPr>
              <w:rPr>
                <w:b/>
              </w:rPr>
            </w:pPr>
          </w:p>
        </w:tc>
      </w:tr>
      <w:tr w:rsidR="00B72672" w:rsidRPr="009154BA" w:rsidTr="00BD6EEB">
        <w:tc>
          <w:tcPr>
            <w:tcW w:w="1795" w:type="dxa"/>
            <w:shd w:val="clear" w:color="auto" w:fill="D9D9D9" w:themeFill="background1" w:themeFillShade="D9"/>
          </w:tcPr>
          <w:p w:rsidR="00B72672" w:rsidRPr="009154BA" w:rsidRDefault="00B72672" w:rsidP="00607AF0">
            <w:pPr>
              <w:jc w:val="center"/>
              <w:rPr>
                <w:b/>
              </w:rPr>
            </w:pPr>
            <w:r>
              <w:rPr>
                <w:b/>
              </w:rPr>
              <w:t>Headline Indicator</w:t>
            </w:r>
          </w:p>
        </w:tc>
        <w:tc>
          <w:tcPr>
            <w:tcW w:w="1440" w:type="dxa"/>
            <w:shd w:val="clear" w:color="auto" w:fill="D9D9D9" w:themeFill="background1" w:themeFillShade="D9"/>
          </w:tcPr>
          <w:p w:rsidR="00B72672" w:rsidRPr="009154BA" w:rsidRDefault="00B72672" w:rsidP="00607AF0">
            <w:pPr>
              <w:jc w:val="center"/>
              <w:rPr>
                <w:b/>
              </w:rPr>
            </w:pPr>
            <w:r w:rsidRPr="009154BA">
              <w:rPr>
                <w:b/>
              </w:rPr>
              <w:t>Multiagency Groups Directly Related</w:t>
            </w:r>
          </w:p>
        </w:tc>
        <w:tc>
          <w:tcPr>
            <w:tcW w:w="5310" w:type="dxa"/>
            <w:shd w:val="clear" w:color="auto" w:fill="D9D9D9" w:themeFill="background1" w:themeFillShade="D9"/>
          </w:tcPr>
          <w:p w:rsidR="00B72672" w:rsidRPr="009154BA" w:rsidRDefault="00B72672" w:rsidP="00607AF0">
            <w:pPr>
              <w:jc w:val="center"/>
              <w:rPr>
                <w:b/>
              </w:rPr>
            </w:pPr>
            <w:r>
              <w:rPr>
                <w:b/>
              </w:rPr>
              <w:t>Data Trend From Cabinet Annual Report</w:t>
            </w:r>
          </w:p>
        </w:tc>
        <w:tc>
          <w:tcPr>
            <w:tcW w:w="5220" w:type="dxa"/>
            <w:shd w:val="clear" w:color="auto" w:fill="D9D9D9" w:themeFill="background1" w:themeFillShade="D9"/>
          </w:tcPr>
          <w:p w:rsidR="00B72672" w:rsidRPr="009154BA" w:rsidRDefault="00B72672" w:rsidP="00607AF0">
            <w:pPr>
              <w:jc w:val="center"/>
              <w:rPr>
                <w:b/>
              </w:rPr>
            </w:pPr>
            <w:r>
              <w:rPr>
                <w:b/>
              </w:rPr>
              <w:t>Data From Alternative Sources</w:t>
            </w:r>
          </w:p>
        </w:tc>
        <w:tc>
          <w:tcPr>
            <w:tcW w:w="1530" w:type="dxa"/>
            <w:shd w:val="clear" w:color="auto" w:fill="D9D9D9" w:themeFill="background1" w:themeFillShade="D9"/>
          </w:tcPr>
          <w:p w:rsidR="00B72672" w:rsidRPr="009154BA" w:rsidRDefault="00B72672" w:rsidP="00607AF0">
            <w:pPr>
              <w:jc w:val="center"/>
              <w:rPr>
                <w:b/>
              </w:rPr>
            </w:pPr>
            <w:r>
              <w:rPr>
                <w:b/>
              </w:rPr>
              <w:t>Turning the Curve?</w:t>
            </w:r>
          </w:p>
        </w:tc>
      </w:tr>
      <w:tr w:rsidR="002B4D2C" w:rsidTr="00BD6EEB">
        <w:tc>
          <w:tcPr>
            <w:tcW w:w="1795" w:type="dxa"/>
          </w:tcPr>
          <w:p w:rsidR="0010111C" w:rsidRDefault="00E05E1E" w:rsidP="0094207A">
            <w:pPr>
              <w:rPr>
                <w:b/>
              </w:rPr>
            </w:pPr>
            <w:r>
              <w:rPr>
                <w:b/>
              </w:rPr>
              <w:t xml:space="preserve">2.3: </w:t>
            </w:r>
          </w:p>
          <w:p w:rsidR="0094207A" w:rsidRPr="00E05E1E" w:rsidRDefault="00E05E1E" w:rsidP="0094207A">
            <w:pPr>
              <w:rPr>
                <w:b/>
              </w:rPr>
            </w:pPr>
            <w:r>
              <w:rPr>
                <w:b/>
              </w:rPr>
              <w:t>Children whose kindergarten entry assessment scores s</w:t>
            </w:r>
            <w:r w:rsidR="0094207A" w:rsidRPr="00E05E1E">
              <w:rPr>
                <w:b/>
              </w:rPr>
              <w:t>how they are</w:t>
            </w:r>
            <w:r w:rsidR="003354E3">
              <w:rPr>
                <w:b/>
              </w:rPr>
              <w:t xml:space="preserve"> </w:t>
            </w:r>
            <w:r>
              <w:rPr>
                <w:b/>
              </w:rPr>
              <w:t>ready for s</w:t>
            </w:r>
            <w:r w:rsidR="0094207A" w:rsidRPr="00E05E1E">
              <w:rPr>
                <w:b/>
              </w:rPr>
              <w:t>chool</w:t>
            </w:r>
          </w:p>
          <w:p w:rsidR="0094207A" w:rsidRPr="00E05E1E" w:rsidRDefault="0094207A" w:rsidP="0094207A">
            <w:pPr>
              <w:rPr>
                <w:b/>
              </w:rPr>
            </w:pPr>
          </w:p>
        </w:tc>
        <w:tc>
          <w:tcPr>
            <w:tcW w:w="1440" w:type="dxa"/>
          </w:tcPr>
          <w:p w:rsidR="0094207A" w:rsidRDefault="008A7D98" w:rsidP="0094207A">
            <w:r>
              <w:t>None known</w:t>
            </w:r>
          </w:p>
        </w:tc>
        <w:tc>
          <w:tcPr>
            <w:tcW w:w="5310" w:type="dxa"/>
          </w:tcPr>
          <w:p w:rsidR="00B6658B" w:rsidRDefault="00A312A1" w:rsidP="00BC3898">
            <w:r>
              <w:rPr>
                <w:b/>
                <w:noProof/>
                <w:shd w:val="clear" w:color="auto" w:fill="F2F2F2" w:themeFill="background1" w:themeFillShade="F2"/>
              </w:rPr>
              <w:drawing>
                <wp:inline distT="0" distB="0" distL="0" distR="0" wp14:anchorId="416AC0E5" wp14:editId="3776DE4B">
                  <wp:extent cx="3248025" cy="18764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12A1" w:rsidRPr="00094D82" w:rsidRDefault="00094D82" w:rsidP="00094D82">
            <w:pPr>
              <w:jc w:val="center"/>
              <w:rPr>
                <w:i/>
                <w:sz w:val="20"/>
              </w:rPr>
            </w:pPr>
            <w:r w:rsidRPr="00094D82">
              <w:rPr>
                <w:i/>
                <w:sz w:val="20"/>
              </w:rPr>
              <w:t>Note: 2012-13 reflects Preliminary Data</w:t>
            </w:r>
          </w:p>
          <w:p w:rsidR="00FF7DF3" w:rsidRDefault="00FF7DF3" w:rsidP="00BC3898">
            <w:pPr>
              <w:rPr>
                <w:rFonts w:eastAsia="Calibri" w:cs="Times New Roman"/>
                <w:sz w:val="20"/>
              </w:rPr>
            </w:pPr>
          </w:p>
          <w:p w:rsidR="00B6658B" w:rsidRPr="00FF7DF3" w:rsidRDefault="00094D82" w:rsidP="00BC3898">
            <w:pPr>
              <w:rPr>
                <w:sz w:val="20"/>
              </w:rPr>
            </w:pPr>
            <w:r w:rsidRPr="00FF7DF3">
              <w:rPr>
                <w:rFonts w:eastAsia="Calibri" w:cs="Times New Roman"/>
                <w:sz w:val="20"/>
              </w:rPr>
              <w:t>Indicator definition: Includes only children who are VPK Completers that completed 70% or more of their enrolled program and were scored on both the Early Childhood Observation System (ECHOS) and the Florida Assessments for Instruction in Reading (FAIR).</w:t>
            </w:r>
          </w:p>
          <w:p w:rsidR="00B6658B" w:rsidRDefault="00B6658B" w:rsidP="00BC3898"/>
        </w:tc>
        <w:tc>
          <w:tcPr>
            <w:tcW w:w="5220" w:type="dxa"/>
          </w:tcPr>
          <w:tbl>
            <w:tblPr>
              <w:tblStyle w:val="TableGrid"/>
              <w:tblpPr w:leftFromText="180" w:rightFromText="180" w:vertAnchor="text" w:horzAnchor="margin" w:tblpY="-226"/>
              <w:tblOverlap w:val="never"/>
              <w:tblW w:w="5035" w:type="dxa"/>
              <w:tblLayout w:type="fixed"/>
              <w:tblLook w:val="04A0" w:firstRow="1" w:lastRow="0" w:firstColumn="1" w:lastColumn="0" w:noHBand="0" w:noVBand="1"/>
            </w:tblPr>
            <w:tblGrid>
              <w:gridCol w:w="625"/>
              <w:gridCol w:w="630"/>
              <w:gridCol w:w="630"/>
              <w:gridCol w:w="630"/>
              <w:gridCol w:w="630"/>
              <w:gridCol w:w="630"/>
              <w:gridCol w:w="540"/>
              <w:gridCol w:w="720"/>
            </w:tblGrid>
            <w:tr w:rsidR="00FF7DF3" w:rsidRPr="00074F1F" w:rsidTr="00B46FE2">
              <w:tc>
                <w:tcPr>
                  <w:tcW w:w="5035" w:type="dxa"/>
                  <w:gridSpan w:val="8"/>
                  <w:tcBorders>
                    <w:top w:val="single" w:sz="4" w:space="0" w:color="auto"/>
                    <w:bottom w:val="single" w:sz="4" w:space="0" w:color="auto"/>
                  </w:tcBorders>
                </w:tcPr>
                <w:p w:rsidR="00FF7DF3" w:rsidRPr="00FF7DF3" w:rsidRDefault="00FF7DF3" w:rsidP="00FF7DF3">
                  <w:pPr>
                    <w:rPr>
                      <w:sz w:val="20"/>
                      <w:szCs w:val="20"/>
                    </w:rPr>
                  </w:pPr>
                  <w:r w:rsidRPr="00FF7DF3">
                    <w:rPr>
                      <w:sz w:val="20"/>
                      <w:szCs w:val="20"/>
                    </w:rPr>
                    <w:t>Percentage of kindergarten students not promoted to the next higher grade</w:t>
                  </w:r>
                </w:p>
                <w:p w:rsidR="00FF7DF3" w:rsidRDefault="00FF7DF3" w:rsidP="00765567">
                  <w:pPr>
                    <w:rPr>
                      <w:sz w:val="20"/>
                      <w:szCs w:val="20"/>
                    </w:rPr>
                  </w:pPr>
                </w:p>
              </w:tc>
            </w:tr>
            <w:tr w:rsidR="00F44FE1" w:rsidRPr="00074F1F" w:rsidTr="00B46FE2">
              <w:tc>
                <w:tcPr>
                  <w:tcW w:w="625" w:type="dxa"/>
                  <w:tcBorders>
                    <w:top w:val="single" w:sz="4" w:space="0" w:color="auto"/>
                  </w:tcBorders>
                </w:tcPr>
                <w:p w:rsidR="00F44FE1" w:rsidRPr="00F44FE1" w:rsidRDefault="00F44FE1" w:rsidP="00765567">
                  <w:pPr>
                    <w:rPr>
                      <w:sz w:val="20"/>
                      <w:szCs w:val="20"/>
                    </w:rPr>
                  </w:pPr>
                  <w:r w:rsidRPr="00F44FE1">
                    <w:rPr>
                      <w:sz w:val="20"/>
                      <w:szCs w:val="20"/>
                    </w:rPr>
                    <w:t>Data Type</w:t>
                  </w:r>
                </w:p>
              </w:tc>
              <w:tc>
                <w:tcPr>
                  <w:tcW w:w="630" w:type="dxa"/>
                  <w:tcBorders>
                    <w:top w:val="single" w:sz="4" w:space="0" w:color="auto"/>
                  </w:tcBorders>
                </w:tcPr>
                <w:p w:rsidR="00F44FE1" w:rsidRPr="00F44FE1" w:rsidRDefault="00F44FE1" w:rsidP="00765567">
                  <w:pPr>
                    <w:rPr>
                      <w:sz w:val="20"/>
                      <w:szCs w:val="20"/>
                    </w:rPr>
                  </w:pPr>
                  <w:r w:rsidRPr="00F44FE1">
                    <w:rPr>
                      <w:sz w:val="20"/>
                      <w:szCs w:val="20"/>
                    </w:rPr>
                    <w:t>07-</w:t>
                  </w:r>
                </w:p>
                <w:p w:rsidR="00F44FE1" w:rsidRPr="00F44FE1" w:rsidRDefault="00F44FE1" w:rsidP="00765567">
                  <w:pPr>
                    <w:rPr>
                      <w:sz w:val="20"/>
                      <w:szCs w:val="20"/>
                    </w:rPr>
                  </w:pPr>
                  <w:r w:rsidRPr="00F44FE1">
                    <w:rPr>
                      <w:sz w:val="20"/>
                      <w:szCs w:val="20"/>
                    </w:rPr>
                    <w:t>08</w:t>
                  </w:r>
                </w:p>
              </w:tc>
              <w:tc>
                <w:tcPr>
                  <w:tcW w:w="630" w:type="dxa"/>
                  <w:tcBorders>
                    <w:top w:val="single" w:sz="4" w:space="0" w:color="auto"/>
                  </w:tcBorders>
                </w:tcPr>
                <w:p w:rsidR="00F44FE1" w:rsidRPr="00F44FE1" w:rsidRDefault="00F44FE1" w:rsidP="00765567">
                  <w:pPr>
                    <w:rPr>
                      <w:sz w:val="20"/>
                      <w:szCs w:val="20"/>
                    </w:rPr>
                  </w:pPr>
                  <w:r w:rsidRPr="00F44FE1">
                    <w:rPr>
                      <w:sz w:val="20"/>
                      <w:szCs w:val="20"/>
                    </w:rPr>
                    <w:t>08-</w:t>
                  </w:r>
                </w:p>
                <w:p w:rsidR="00F44FE1" w:rsidRPr="00F44FE1" w:rsidRDefault="00F44FE1" w:rsidP="00765567">
                  <w:pPr>
                    <w:rPr>
                      <w:sz w:val="20"/>
                      <w:szCs w:val="20"/>
                    </w:rPr>
                  </w:pPr>
                  <w:r w:rsidRPr="00F44FE1">
                    <w:rPr>
                      <w:sz w:val="20"/>
                      <w:szCs w:val="20"/>
                    </w:rPr>
                    <w:t>09</w:t>
                  </w:r>
                </w:p>
              </w:tc>
              <w:tc>
                <w:tcPr>
                  <w:tcW w:w="630" w:type="dxa"/>
                  <w:tcBorders>
                    <w:top w:val="single" w:sz="4" w:space="0" w:color="auto"/>
                  </w:tcBorders>
                </w:tcPr>
                <w:p w:rsidR="00F44FE1" w:rsidRPr="00F44FE1" w:rsidRDefault="00F44FE1" w:rsidP="00765567">
                  <w:pPr>
                    <w:rPr>
                      <w:sz w:val="20"/>
                      <w:szCs w:val="20"/>
                    </w:rPr>
                  </w:pPr>
                  <w:r w:rsidRPr="00F44FE1">
                    <w:rPr>
                      <w:sz w:val="20"/>
                      <w:szCs w:val="20"/>
                    </w:rPr>
                    <w:t>09-</w:t>
                  </w:r>
                </w:p>
                <w:p w:rsidR="00F44FE1" w:rsidRPr="00F44FE1" w:rsidRDefault="00F44FE1" w:rsidP="00765567">
                  <w:pPr>
                    <w:rPr>
                      <w:sz w:val="20"/>
                      <w:szCs w:val="20"/>
                    </w:rPr>
                  </w:pPr>
                  <w:r w:rsidRPr="00F44FE1">
                    <w:rPr>
                      <w:sz w:val="20"/>
                      <w:szCs w:val="20"/>
                    </w:rPr>
                    <w:t>10</w:t>
                  </w:r>
                </w:p>
              </w:tc>
              <w:tc>
                <w:tcPr>
                  <w:tcW w:w="630" w:type="dxa"/>
                  <w:tcBorders>
                    <w:top w:val="single" w:sz="4" w:space="0" w:color="auto"/>
                  </w:tcBorders>
                </w:tcPr>
                <w:p w:rsidR="00F44FE1" w:rsidRPr="00F44FE1" w:rsidRDefault="00F44FE1" w:rsidP="00765567">
                  <w:pPr>
                    <w:rPr>
                      <w:sz w:val="20"/>
                      <w:szCs w:val="20"/>
                    </w:rPr>
                  </w:pPr>
                  <w:r w:rsidRPr="00F44FE1">
                    <w:rPr>
                      <w:sz w:val="20"/>
                      <w:szCs w:val="20"/>
                    </w:rPr>
                    <w:t>10-</w:t>
                  </w:r>
                </w:p>
                <w:p w:rsidR="00F44FE1" w:rsidRPr="00F44FE1" w:rsidRDefault="00F44FE1" w:rsidP="00765567">
                  <w:pPr>
                    <w:rPr>
                      <w:sz w:val="20"/>
                      <w:szCs w:val="20"/>
                    </w:rPr>
                  </w:pPr>
                  <w:r w:rsidRPr="00F44FE1">
                    <w:rPr>
                      <w:sz w:val="20"/>
                      <w:szCs w:val="20"/>
                    </w:rPr>
                    <w:t>11</w:t>
                  </w:r>
                </w:p>
              </w:tc>
              <w:tc>
                <w:tcPr>
                  <w:tcW w:w="630" w:type="dxa"/>
                  <w:tcBorders>
                    <w:top w:val="single" w:sz="4" w:space="0" w:color="auto"/>
                  </w:tcBorders>
                </w:tcPr>
                <w:p w:rsidR="00F44FE1" w:rsidRPr="00F44FE1" w:rsidRDefault="00F44FE1" w:rsidP="00765567">
                  <w:pPr>
                    <w:rPr>
                      <w:sz w:val="20"/>
                      <w:szCs w:val="20"/>
                    </w:rPr>
                  </w:pPr>
                  <w:r w:rsidRPr="00F44FE1">
                    <w:rPr>
                      <w:sz w:val="20"/>
                      <w:szCs w:val="20"/>
                    </w:rPr>
                    <w:t>11-</w:t>
                  </w:r>
                </w:p>
                <w:p w:rsidR="00F44FE1" w:rsidRPr="00F44FE1" w:rsidRDefault="00F44FE1" w:rsidP="00765567">
                  <w:pPr>
                    <w:rPr>
                      <w:sz w:val="20"/>
                      <w:szCs w:val="20"/>
                    </w:rPr>
                  </w:pPr>
                  <w:r w:rsidRPr="00F44FE1">
                    <w:rPr>
                      <w:sz w:val="20"/>
                      <w:szCs w:val="20"/>
                    </w:rPr>
                    <w:t>12</w:t>
                  </w:r>
                </w:p>
              </w:tc>
              <w:tc>
                <w:tcPr>
                  <w:tcW w:w="540" w:type="dxa"/>
                  <w:tcBorders>
                    <w:top w:val="single" w:sz="4" w:space="0" w:color="auto"/>
                  </w:tcBorders>
                </w:tcPr>
                <w:p w:rsidR="00F44FE1" w:rsidRPr="00F44FE1" w:rsidRDefault="00F44FE1" w:rsidP="00765567">
                  <w:pPr>
                    <w:rPr>
                      <w:sz w:val="20"/>
                      <w:szCs w:val="20"/>
                    </w:rPr>
                  </w:pPr>
                  <w:r w:rsidRPr="00F44FE1">
                    <w:rPr>
                      <w:sz w:val="20"/>
                      <w:szCs w:val="20"/>
                    </w:rPr>
                    <w:t>12-</w:t>
                  </w:r>
                </w:p>
                <w:p w:rsidR="00F44FE1" w:rsidRPr="00F44FE1" w:rsidRDefault="00F44FE1" w:rsidP="00765567">
                  <w:pPr>
                    <w:rPr>
                      <w:sz w:val="20"/>
                      <w:szCs w:val="20"/>
                    </w:rPr>
                  </w:pPr>
                  <w:r w:rsidRPr="00F44FE1">
                    <w:rPr>
                      <w:sz w:val="20"/>
                      <w:szCs w:val="20"/>
                    </w:rPr>
                    <w:t>13</w:t>
                  </w:r>
                </w:p>
              </w:tc>
              <w:tc>
                <w:tcPr>
                  <w:tcW w:w="720" w:type="dxa"/>
                  <w:tcBorders>
                    <w:top w:val="single" w:sz="4" w:space="0" w:color="auto"/>
                  </w:tcBorders>
                </w:tcPr>
                <w:p w:rsidR="00F44FE1" w:rsidRDefault="00F44FE1" w:rsidP="00765567">
                  <w:pPr>
                    <w:rPr>
                      <w:sz w:val="20"/>
                      <w:szCs w:val="20"/>
                    </w:rPr>
                  </w:pPr>
                  <w:r>
                    <w:rPr>
                      <w:sz w:val="20"/>
                      <w:szCs w:val="20"/>
                    </w:rPr>
                    <w:t>13-</w:t>
                  </w:r>
                </w:p>
                <w:p w:rsidR="00F44FE1" w:rsidRPr="00F44FE1" w:rsidRDefault="00F44FE1" w:rsidP="00765567">
                  <w:pPr>
                    <w:rPr>
                      <w:sz w:val="20"/>
                      <w:szCs w:val="20"/>
                    </w:rPr>
                  </w:pPr>
                  <w:r>
                    <w:rPr>
                      <w:sz w:val="20"/>
                      <w:szCs w:val="20"/>
                    </w:rPr>
                    <w:t>14</w:t>
                  </w:r>
                </w:p>
              </w:tc>
            </w:tr>
            <w:tr w:rsidR="00F44FE1" w:rsidRPr="00074F1F" w:rsidTr="00F44FE1">
              <w:tc>
                <w:tcPr>
                  <w:tcW w:w="625" w:type="dxa"/>
                </w:tcPr>
                <w:p w:rsidR="00F44FE1" w:rsidRPr="00F44FE1" w:rsidRDefault="00F44FE1" w:rsidP="00765567">
                  <w:pPr>
                    <w:rPr>
                      <w:sz w:val="20"/>
                      <w:szCs w:val="20"/>
                    </w:rPr>
                  </w:pPr>
                  <w:r w:rsidRPr="00F44FE1">
                    <w:rPr>
                      <w:sz w:val="20"/>
                      <w:szCs w:val="20"/>
                    </w:rPr>
                    <w:t>%</w:t>
                  </w:r>
                </w:p>
              </w:tc>
              <w:tc>
                <w:tcPr>
                  <w:tcW w:w="630" w:type="dxa"/>
                </w:tcPr>
                <w:p w:rsidR="00F44FE1" w:rsidRPr="00F44FE1" w:rsidRDefault="00F44FE1" w:rsidP="00765567">
                  <w:pPr>
                    <w:rPr>
                      <w:sz w:val="20"/>
                      <w:szCs w:val="20"/>
                    </w:rPr>
                  </w:pPr>
                  <w:r w:rsidRPr="00F44FE1">
                    <w:rPr>
                      <w:sz w:val="20"/>
                      <w:szCs w:val="20"/>
                    </w:rPr>
                    <w:t>5.4%</w:t>
                  </w:r>
                </w:p>
              </w:tc>
              <w:tc>
                <w:tcPr>
                  <w:tcW w:w="630" w:type="dxa"/>
                </w:tcPr>
                <w:p w:rsidR="00F44FE1" w:rsidRPr="00F44FE1" w:rsidRDefault="00F44FE1" w:rsidP="00765567">
                  <w:pPr>
                    <w:rPr>
                      <w:sz w:val="20"/>
                      <w:szCs w:val="20"/>
                    </w:rPr>
                  </w:pPr>
                  <w:r w:rsidRPr="00F44FE1">
                    <w:rPr>
                      <w:sz w:val="20"/>
                      <w:szCs w:val="20"/>
                    </w:rPr>
                    <w:t>4.7%</w:t>
                  </w:r>
                </w:p>
              </w:tc>
              <w:tc>
                <w:tcPr>
                  <w:tcW w:w="630" w:type="dxa"/>
                </w:tcPr>
                <w:p w:rsidR="00F44FE1" w:rsidRPr="00F44FE1" w:rsidRDefault="00F44FE1" w:rsidP="00765567">
                  <w:pPr>
                    <w:rPr>
                      <w:sz w:val="20"/>
                      <w:szCs w:val="20"/>
                    </w:rPr>
                  </w:pPr>
                  <w:r w:rsidRPr="00F44FE1">
                    <w:rPr>
                      <w:sz w:val="20"/>
                      <w:szCs w:val="20"/>
                    </w:rPr>
                    <w:t>4.1%</w:t>
                  </w:r>
                </w:p>
              </w:tc>
              <w:tc>
                <w:tcPr>
                  <w:tcW w:w="630" w:type="dxa"/>
                </w:tcPr>
                <w:p w:rsidR="00F44FE1" w:rsidRPr="00F44FE1" w:rsidRDefault="00F44FE1" w:rsidP="00765567">
                  <w:pPr>
                    <w:rPr>
                      <w:sz w:val="20"/>
                      <w:szCs w:val="20"/>
                    </w:rPr>
                  </w:pPr>
                  <w:r w:rsidRPr="00F44FE1">
                    <w:rPr>
                      <w:sz w:val="20"/>
                      <w:szCs w:val="20"/>
                    </w:rPr>
                    <w:t>3.8%</w:t>
                  </w:r>
                </w:p>
              </w:tc>
              <w:tc>
                <w:tcPr>
                  <w:tcW w:w="630" w:type="dxa"/>
                </w:tcPr>
                <w:p w:rsidR="00F44FE1" w:rsidRPr="00F44FE1" w:rsidRDefault="00F44FE1" w:rsidP="00765567">
                  <w:pPr>
                    <w:rPr>
                      <w:sz w:val="20"/>
                      <w:szCs w:val="20"/>
                    </w:rPr>
                  </w:pPr>
                  <w:r w:rsidRPr="00F44FE1">
                    <w:rPr>
                      <w:sz w:val="20"/>
                      <w:szCs w:val="20"/>
                    </w:rPr>
                    <w:t>4.1%</w:t>
                  </w:r>
                </w:p>
              </w:tc>
              <w:tc>
                <w:tcPr>
                  <w:tcW w:w="540" w:type="dxa"/>
                </w:tcPr>
                <w:p w:rsidR="00F44FE1" w:rsidRPr="00F44FE1" w:rsidRDefault="00F44FE1" w:rsidP="00765567">
                  <w:pPr>
                    <w:rPr>
                      <w:sz w:val="20"/>
                      <w:szCs w:val="20"/>
                    </w:rPr>
                  </w:pPr>
                  <w:r w:rsidRPr="00F44FE1">
                    <w:rPr>
                      <w:sz w:val="20"/>
                      <w:szCs w:val="20"/>
                    </w:rPr>
                    <w:t>4%</w:t>
                  </w:r>
                </w:p>
              </w:tc>
              <w:tc>
                <w:tcPr>
                  <w:tcW w:w="720" w:type="dxa"/>
                </w:tcPr>
                <w:p w:rsidR="00F44FE1" w:rsidRPr="00F44FE1" w:rsidRDefault="00F44FE1" w:rsidP="00765567">
                  <w:pPr>
                    <w:rPr>
                      <w:sz w:val="20"/>
                      <w:szCs w:val="20"/>
                    </w:rPr>
                  </w:pPr>
                  <w:r>
                    <w:rPr>
                      <w:sz w:val="20"/>
                      <w:szCs w:val="20"/>
                    </w:rPr>
                    <w:t>4.2%</w:t>
                  </w:r>
                </w:p>
              </w:tc>
            </w:tr>
          </w:tbl>
          <w:p w:rsidR="00094D73" w:rsidRDefault="00094D73" w:rsidP="0094207A"/>
          <w:p w:rsidR="00F44FE1" w:rsidRPr="00FF7DF3" w:rsidRDefault="00F44FE1" w:rsidP="0094207A">
            <w:pPr>
              <w:rPr>
                <w:sz w:val="20"/>
                <w:szCs w:val="20"/>
              </w:rPr>
            </w:pPr>
            <w:r w:rsidRPr="00FF7DF3">
              <w:rPr>
                <w:sz w:val="20"/>
                <w:szCs w:val="20"/>
              </w:rPr>
              <w:t xml:space="preserve">Data source: </w:t>
            </w:r>
            <w:r w:rsidR="003802B8">
              <w:rPr>
                <w:sz w:val="20"/>
                <w:szCs w:val="20"/>
              </w:rPr>
              <w:t>Florida Department of Education</w:t>
            </w:r>
          </w:p>
          <w:p w:rsidR="00765567" w:rsidRPr="00FF7DF3" w:rsidRDefault="00F65307" w:rsidP="0094207A">
            <w:pPr>
              <w:rPr>
                <w:sz w:val="20"/>
                <w:szCs w:val="20"/>
              </w:rPr>
            </w:pPr>
            <w:hyperlink r:id="rId15" w:history="1">
              <w:r w:rsidR="00F44FE1" w:rsidRPr="00FF7DF3">
                <w:rPr>
                  <w:rStyle w:val="Hyperlink"/>
                  <w:sz w:val="20"/>
                  <w:szCs w:val="20"/>
                </w:rPr>
                <w:t>http://www.fldoe.org/accountability/accountability-reporting</w:t>
              </w:r>
            </w:hyperlink>
          </w:p>
          <w:p w:rsidR="00F44FE1" w:rsidRDefault="00F44FE1" w:rsidP="0094207A"/>
          <w:p w:rsidR="00765567" w:rsidRDefault="00765567" w:rsidP="0094207A"/>
          <w:p w:rsidR="00094D73" w:rsidRPr="00510120" w:rsidRDefault="00510120" w:rsidP="00510120">
            <w:pPr>
              <w:tabs>
                <w:tab w:val="left" w:pos="1110"/>
              </w:tabs>
            </w:pPr>
            <w:r>
              <w:tab/>
            </w:r>
          </w:p>
        </w:tc>
        <w:tc>
          <w:tcPr>
            <w:tcW w:w="1530" w:type="dxa"/>
          </w:tcPr>
          <w:p w:rsidR="009F2C51" w:rsidRDefault="009F2C51" w:rsidP="0094207A">
            <w:pPr>
              <w:rPr>
                <w:b/>
                <w:color w:val="0070C0"/>
              </w:rPr>
            </w:pPr>
            <w:r>
              <w:rPr>
                <w:b/>
                <w:color w:val="0070C0"/>
              </w:rPr>
              <w:t>UNKNOWN</w:t>
            </w:r>
            <w:r w:rsidRPr="009F2C51">
              <w:rPr>
                <w:b/>
                <w:color w:val="0070C0"/>
              </w:rPr>
              <w:t>, conflicting data</w:t>
            </w:r>
            <w:r>
              <w:rPr>
                <w:b/>
                <w:color w:val="0070C0"/>
              </w:rPr>
              <w:t>:</w:t>
            </w:r>
          </w:p>
          <w:p w:rsidR="009F2C51" w:rsidRDefault="009F2C51" w:rsidP="0094207A">
            <w:pPr>
              <w:rPr>
                <w:b/>
                <w:color w:val="0070C0"/>
              </w:rPr>
            </w:pPr>
          </w:p>
          <w:p w:rsidR="0094207A" w:rsidRPr="0020104A" w:rsidRDefault="00C23953" w:rsidP="0094207A">
            <w:pPr>
              <w:rPr>
                <w:b/>
                <w:color w:val="0070C0"/>
              </w:rPr>
            </w:pPr>
            <w:r w:rsidRPr="0020104A">
              <w:rPr>
                <w:b/>
                <w:color w:val="0070C0"/>
              </w:rPr>
              <w:t>YES, slow</w:t>
            </w:r>
            <w:r w:rsidR="0094207A" w:rsidRPr="0020104A">
              <w:rPr>
                <w:b/>
                <w:color w:val="0070C0"/>
              </w:rPr>
              <w:t xml:space="preserve"> </w:t>
            </w:r>
            <w:r w:rsidRPr="0020104A">
              <w:rPr>
                <w:b/>
                <w:color w:val="0070C0"/>
              </w:rPr>
              <w:t>and steady improvement</w:t>
            </w:r>
            <w:r w:rsidR="00765567" w:rsidRPr="0020104A">
              <w:rPr>
                <w:b/>
                <w:color w:val="0070C0"/>
              </w:rPr>
              <w:t xml:space="preserve"> for children attending VPK</w:t>
            </w:r>
          </w:p>
          <w:p w:rsidR="00765567" w:rsidRPr="0020104A" w:rsidRDefault="00765567" w:rsidP="0094207A">
            <w:pPr>
              <w:rPr>
                <w:b/>
                <w:color w:val="0070C0"/>
              </w:rPr>
            </w:pPr>
          </w:p>
          <w:p w:rsidR="00765567" w:rsidRDefault="00765567" w:rsidP="00C23953">
            <w:r w:rsidRPr="0020104A">
              <w:rPr>
                <w:b/>
                <w:color w:val="0070C0"/>
              </w:rPr>
              <w:t xml:space="preserve">NO, </w:t>
            </w:r>
            <w:r w:rsidR="00A247F1" w:rsidRPr="0020104A">
              <w:rPr>
                <w:b/>
                <w:color w:val="0070C0"/>
              </w:rPr>
              <w:t>little or no change</w:t>
            </w:r>
            <w:r w:rsidR="00C23953" w:rsidRPr="0020104A">
              <w:rPr>
                <w:b/>
                <w:color w:val="0070C0"/>
              </w:rPr>
              <w:t xml:space="preserve"> for all children</w:t>
            </w:r>
          </w:p>
        </w:tc>
      </w:tr>
    </w:tbl>
    <w:p w:rsidR="00B72672" w:rsidRDefault="00B72672">
      <w:r>
        <w:br w:type="page"/>
      </w:r>
    </w:p>
    <w:tbl>
      <w:tblPr>
        <w:tblStyle w:val="TableGrid"/>
        <w:tblW w:w="15295" w:type="dxa"/>
        <w:tblLayout w:type="fixed"/>
        <w:tblLook w:val="04A0" w:firstRow="1" w:lastRow="0" w:firstColumn="1" w:lastColumn="0" w:noHBand="0" w:noVBand="1"/>
      </w:tblPr>
      <w:tblGrid>
        <w:gridCol w:w="1795"/>
        <w:gridCol w:w="1440"/>
        <w:gridCol w:w="5310"/>
        <w:gridCol w:w="5310"/>
        <w:gridCol w:w="1440"/>
      </w:tblGrid>
      <w:tr w:rsidR="00B72672" w:rsidRPr="004E21C6" w:rsidTr="00BD6EEB">
        <w:tc>
          <w:tcPr>
            <w:tcW w:w="13855" w:type="dxa"/>
            <w:gridSpan w:val="4"/>
            <w:shd w:val="clear" w:color="auto" w:fill="F2F2F2" w:themeFill="background1" w:themeFillShade="F2"/>
          </w:tcPr>
          <w:p w:rsidR="00B72672" w:rsidRPr="004E21C6" w:rsidRDefault="00B72672" w:rsidP="00607AF0">
            <w:pPr>
              <w:rPr>
                <w:b/>
              </w:rPr>
            </w:pPr>
            <w:r w:rsidRPr="004E21C6">
              <w:rPr>
                <w:b/>
              </w:rPr>
              <w:lastRenderedPageBreak/>
              <w:t xml:space="preserve">Area of Focus: Every Florida Child is Ready to Learn and Succeed </w:t>
            </w:r>
          </w:p>
          <w:p w:rsidR="00B72672" w:rsidRPr="004E21C6" w:rsidRDefault="00B72672" w:rsidP="00607AF0">
            <w:pPr>
              <w:rPr>
                <w:b/>
              </w:rPr>
            </w:pPr>
          </w:p>
        </w:tc>
        <w:tc>
          <w:tcPr>
            <w:tcW w:w="1440" w:type="dxa"/>
            <w:shd w:val="clear" w:color="auto" w:fill="F2F2F2" w:themeFill="background1" w:themeFillShade="F2"/>
          </w:tcPr>
          <w:p w:rsidR="00B72672" w:rsidRPr="004E21C6" w:rsidRDefault="00B72672" w:rsidP="00607AF0">
            <w:pPr>
              <w:rPr>
                <w:b/>
              </w:rPr>
            </w:pPr>
          </w:p>
        </w:tc>
      </w:tr>
      <w:tr w:rsidR="00B72672" w:rsidRPr="009154BA" w:rsidTr="00BD6EEB">
        <w:tc>
          <w:tcPr>
            <w:tcW w:w="1795" w:type="dxa"/>
            <w:shd w:val="clear" w:color="auto" w:fill="D9D9D9" w:themeFill="background1" w:themeFillShade="D9"/>
          </w:tcPr>
          <w:p w:rsidR="00B72672" w:rsidRPr="009154BA" w:rsidRDefault="00B72672" w:rsidP="00607AF0">
            <w:pPr>
              <w:jc w:val="center"/>
              <w:rPr>
                <w:b/>
              </w:rPr>
            </w:pPr>
            <w:r>
              <w:rPr>
                <w:b/>
              </w:rPr>
              <w:t>Headline Indicator</w:t>
            </w:r>
          </w:p>
        </w:tc>
        <w:tc>
          <w:tcPr>
            <w:tcW w:w="1440" w:type="dxa"/>
            <w:shd w:val="clear" w:color="auto" w:fill="D9D9D9" w:themeFill="background1" w:themeFillShade="D9"/>
          </w:tcPr>
          <w:p w:rsidR="00B72672" w:rsidRPr="009154BA" w:rsidRDefault="00B72672" w:rsidP="00607AF0">
            <w:pPr>
              <w:jc w:val="center"/>
              <w:rPr>
                <w:b/>
              </w:rPr>
            </w:pPr>
            <w:r>
              <w:rPr>
                <w:b/>
              </w:rPr>
              <w:t xml:space="preserve">Multiagency Groups </w:t>
            </w:r>
            <w:r w:rsidRPr="009154BA">
              <w:rPr>
                <w:b/>
              </w:rPr>
              <w:t>Related</w:t>
            </w:r>
          </w:p>
        </w:tc>
        <w:tc>
          <w:tcPr>
            <w:tcW w:w="5310" w:type="dxa"/>
            <w:shd w:val="clear" w:color="auto" w:fill="D9D9D9" w:themeFill="background1" w:themeFillShade="D9"/>
          </w:tcPr>
          <w:p w:rsidR="00B72672" w:rsidRPr="009154BA" w:rsidRDefault="00B72672" w:rsidP="00607AF0">
            <w:pPr>
              <w:jc w:val="center"/>
              <w:rPr>
                <w:b/>
              </w:rPr>
            </w:pPr>
            <w:r>
              <w:rPr>
                <w:b/>
              </w:rPr>
              <w:t>Data Trend From Cabinet Annual Report</w:t>
            </w:r>
          </w:p>
        </w:tc>
        <w:tc>
          <w:tcPr>
            <w:tcW w:w="5310" w:type="dxa"/>
            <w:shd w:val="clear" w:color="auto" w:fill="D9D9D9" w:themeFill="background1" w:themeFillShade="D9"/>
          </w:tcPr>
          <w:p w:rsidR="00B72672" w:rsidRPr="009154BA" w:rsidRDefault="00B72672" w:rsidP="00607AF0">
            <w:pPr>
              <w:jc w:val="center"/>
              <w:rPr>
                <w:b/>
              </w:rPr>
            </w:pPr>
            <w:r>
              <w:rPr>
                <w:b/>
              </w:rPr>
              <w:t>Data From Alternative Source</w:t>
            </w:r>
          </w:p>
        </w:tc>
        <w:tc>
          <w:tcPr>
            <w:tcW w:w="1440" w:type="dxa"/>
            <w:shd w:val="clear" w:color="auto" w:fill="D9D9D9" w:themeFill="background1" w:themeFillShade="D9"/>
          </w:tcPr>
          <w:p w:rsidR="00B72672" w:rsidRPr="009154BA" w:rsidRDefault="00B72672" w:rsidP="00607AF0">
            <w:pPr>
              <w:jc w:val="center"/>
              <w:rPr>
                <w:b/>
              </w:rPr>
            </w:pPr>
            <w:r>
              <w:rPr>
                <w:b/>
              </w:rPr>
              <w:t>Turning the Curve?</w:t>
            </w:r>
          </w:p>
        </w:tc>
      </w:tr>
      <w:tr w:rsidR="002B4D2C" w:rsidTr="00BD6EEB">
        <w:tc>
          <w:tcPr>
            <w:tcW w:w="1795" w:type="dxa"/>
          </w:tcPr>
          <w:p w:rsidR="0010111C" w:rsidRDefault="00E05E1E" w:rsidP="0094207A">
            <w:pPr>
              <w:rPr>
                <w:b/>
              </w:rPr>
            </w:pPr>
            <w:r>
              <w:rPr>
                <w:b/>
              </w:rPr>
              <w:t xml:space="preserve">2.4: </w:t>
            </w:r>
          </w:p>
          <w:p w:rsidR="0094207A" w:rsidRPr="00E05E1E" w:rsidRDefault="00E05E1E" w:rsidP="0094207A">
            <w:pPr>
              <w:rPr>
                <w:b/>
              </w:rPr>
            </w:pPr>
            <w:r>
              <w:rPr>
                <w:b/>
              </w:rPr>
              <w:t>Early childhood staff with bachelor’s de</w:t>
            </w:r>
            <w:r w:rsidR="0094207A" w:rsidRPr="00E05E1E">
              <w:rPr>
                <w:b/>
              </w:rPr>
              <w:t xml:space="preserve">grees </w:t>
            </w:r>
          </w:p>
          <w:p w:rsidR="0094207A" w:rsidRPr="00E05E1E" w:rsidRDefault="0094207A" w:rsidP="0094207A">
            <w:pPr>
              <w:rPr>
                <w:b/>
              </w:rPr>
            </w:pPr>
          </w:p>
        </w:tc>
        <w:tc>
          <w:tcPr>
            <w:tcW w:w="1440" w:type="dxa"/>
          </w:tcPr>
          <w:p w:rsidR="0094207A" w:rsidRDefault="008A7D98" w:rsidP="0094207A">
            <w:r>
              <w:t>None known</w:t>
            </w:r>
          </w:p>
        </w:tc>
        <w:tc>
          <w:tcPr>
            <w:tcW w:w="5310" w:type="dxa"/>
          </w:tcPr>
          <w:p w:rsidR="0094207A" w:rsidRDefault="00094D82" w:rsidP="0094207A">
            <w:r>
              <w:rPr>
                <w:b/>
                <w:noProof/>
                <w:shd w:val="clear" w:color="auto" w:fill="F2F2F2" w:themeFill="background1" w:themeFillShade="F2"/>
              </w:rPr>
              <w:drawing>
                <wp:inline distT="0" distB="0" distL="0" distR="0" wp14:anchorId="5B20BB64" wp14:editId="11C1D7E7">
                  <wp:extent cx="3248025" cy="18764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94D82" w:rsidRPr="00094D82" w:rsidRDefault="00094D82" w:rsidP="00094D82">
            <w:pPr>
              <w:pStyle w:val="PlainText"/>
              <w:jc w:val="both"/>
              <w:rPr>
                <w:rFonts w:ascii="Times New Roman" w:hAnsi="Times New Roman" w:cs="Times New Roman"/>
                <w:sz w:val="20"/>
                <w:szCs w:val="22"/>
              </w:rPr>
            </w:pPr>
            <w:r w:rsidRPr="00094D82">
              <w:rPr>
                <w:rFonts w:ascii="Times New Roman" w:hAnsi="Times New Roman" w:cs="Times New Roman"/>
                <w:i/>
                <w:sz w:val="20"/>
                <w:szCs w:val="22"/>
              </w:rPr>
              <w:t xml:space="preserve">Indicator definition: </w:t>
            </w:r>
            <w:r w:rsidRPr="00094D82">
              <w:rPr>
                <w:rFonts w:ascii="Times New Roman" w:hAnsi="Times New Roman" w:cs="Times New Roman"/>
                <w:sz w:val="20"/>
                <w:szCs w:val="22"/>
              </w:rPr>
              <w:t>Percentage of early childhood staff with a bachelor’s degree (Based on data collected by the Department of Children and Families for the facilities they regulate statewide, which represents 68.5 %.  The calculation does not include those staff who work with mixed age groups or staff who work with children 5+ years of age).</w:t>
            </w:r>
          </w:p>
          <w:p w:rsidR="00B6658B" w:rsidRDefault="00B6658B" w:rsidP="0094207A"/>
        </w:tc>
        <w:tc>
          <w:tcPr>
            <w:tcW w:w="5310" w:type="dxa"/>
          </w:tcPr>
          <w:p w:rsidR="00405CD6" w:rsidRDefault="00BE149C" w:rsidP="0094207A">
            <w:pPr>
              <w:rPr>
                <w:sz w:val="20"/>
                <w:szCs w:val="20"/>
              </w:rPr>
            </w:pPr>
            <w:r>
              <w:rPr>
                <w:sz w:val="20"/>
                <w:szCs w:val="20"/>
              </w:rPr>
              <w:t>Percent of child day care workers with a b</w:t>
            </w:r>
            <w:r w:rsidR="00405CD6" w:rsidRPr="00BE149C">
              <w:rPr>
                <w:sz w:val="20"/>
                <w:szCs w:val="20"/>
              </w:rPr>
              <w:t>achelor’s degree or advanced degree</w:t>
            </w:r>
          </w:p>
          <w:tbl>
            <w:tblPr>
              <w:tblStyle w:val="TableGrid"/>
              <w:tblW w:w="0" w:type="auto"/>
              <w:tblLayout w:type="fixed"/>
              <w:tblLook w:val="04A0" w:firstRow="1" w:lastRow="0" w:firstColumn="1" w:lastColumn="0" w:noHBand="0" w:noVBand="1"/>
            </w:tblPr>
            <w:tblGrid>
              <w:gridCol w:w="2542"/>
              <w:gridCol w:w="2542"/>
            </w:tblGrid>
            <w:tr w:rsidR="00BE149C" w:rsidTr="00BE149C">
              <w:tc>
                <w:tcPr>
                  <w:tcW w:w="2542" w:type="dxa"/>
                </w:tcPr>
                <w:p w:rsidR="00BE149C" w:rsidRDefault="00BE149C" w:rsidP="0094207A">
                  <w:pPr>
                    <w:rPr>
                      <w:sz w:val="20"/>
                      <w:szCs w:val="20"/>
                    </w:rPr>
                  </w:pPr>
                  <w:r>
                    <w:rPr>
                      <w:sz w:val="20"/>
                      <w:szCs w:val="20"/>
                    </w:rPr>
                    <w:t>2010</w:t>
                  </w:r>
                </w:p>
              </w:tc>
              <w:tc>
                <w:tcPr>
                  <w:tcW w:w="2542" w:type="dxa"/>
                </w:tcPr>
                <w:p w:rsidR="00BE149C" w:rsidRDefault="00BE149C" w:rsidP="0094207A">
                  <w:pPr>
                    <w:rPr>
                      <w:sz w:val="20"/>
                      <w:szCs w:val="20"/>
                    </w:rPr>
                  </w:pPr>
                  <w:r>
                    <w:rPr>
                      <w:sz w:val="20"/>
                      <w:szCs w:val="20"/>
                    </w:rPr>
                    <w:t>15.3%</w:t>
                  </w:r>
                </w:p>
              </w:tc>
            </w:tr>
            <w:tr w:rsidR="00BE149C" w:rsidTr="00BE149C">
              <w:tc>
                <w:tcPr>
                  <w:tcW w:w="2542" w:type="dxa"/>
                </w:tcPr>
                <w:p w:rsidR="00BE149C" w:rsidRDefault="00BE149C" w:rsidP="0094207A">
                  <w:pPr>
                    <w:rPr>
                      <w:sz w:val="20"/>
                      <w:szCs w:val="20"/>
                    </w:rPr>
                  </w:pPr>
                  <w:r>
                    <w:rPr>
                      <w:sz w:val="20"/>
                      <w:szCs w:val="20"/>
                    </w:rPr>
                    <w:t>2011</w:t>
                  </w:r>
                </w:p>
              </w:tc>
              <w:tc>
                <w:tcPr>
                  <w:tcW w:w="2542" w:type="dxa"/>
                </w:tcPr>
                <w:p w:rsidR="00BE149C" w:rsidRDefault="00BE149C" w:rsidP="0094207A">
                  <w:pPr>
                    <w:rPr>
                      <w:sz w:val="20"/>
                      <w:szCs w:val="20"/>
                    </w:rPr>
                  </w:pPr>
                  <w:r>
                    <w:rPr>
                      <w:sz w:val="20"/>
                      <w:szCs w:val="20"/>
                    </w:rPr>
                    <w:t>15.3%</w:t>
                  </w:r>
                </w:p>
              </w:tc>
            </w:tr>
            <w:tr w:rsidR="00BE149C" w:rsidTr="00BE149C">
              <w:tc>
                <w:tcPr>
                  <w:tcW w:w="2542" w:type="dxa"/>
                </w:tcPr>
                <w:p w:rsidR="00BE149C" w:rsidRDefault="00BE149C" w:rsidP="0094207A">
                  <w:pPr>
                    <w:rPr>
                      <w:sz w:val="20"/>
                      <w:szCs w:val="20"/>
                    </w:rPr>
                  </w:pPr>
                  <w:r>
                    <w:rPr>
                      <w:sz w:val="20"/>
                      <w:szCs w:val="20"/>
                    </w:rPr>
                    <w:t>2012</w:t>
                  </w:r>
                </w:p>
              </w:tc>
              <w:tc>
                <w:tcPr>
                  <w:tcW w:w="2542" w:type="dxa"/>
                </w:tcPr>
                <w:p w:rsidR="00BE149C" w:rsidRDefault="00BE149C" w:rsidP="0094207A">
                  <w:pPr>
                    <w:rPr>
                      <w:sz w:val="20"/>
                      <w:szCs w:val="20"/>
                    </w:rPr>
                  </w:pPr>
                  <w:r>
                    <w:rPr>
                      <w:sz w:val="20"/>
                      <w:szCs w:val="20"/>
                    </w:rPr>
                    <w:t>15.5%</w:t>
                  </w:r>
                </w:p>
              </w:tc>
            </w:tr>
            <w:tr w:rsidR="00BE149C" w:rsidTr="00BE149C">
              <w:tc>
                <w:tcPr>
                  <w:tcW w:w="2542" w:type="dxa"/>
                </w:tcPr>
                <w:p w:rsidR="00BE149C" w:rsidRDefault="00BE149C" w:rsidP="0094207A">
                  <w:pPr>
                    <w:rPr>
                      <w:sz w:val="20"/>
                      <w:szCs w:val="20"/>
                    </w:rPr>
                  </w:pPr>
                  <w:r>
                    <w:rPr>
                      <w:sz w:val="20"/>
                      <w:szCs w:val="20"/>
                    </w:rPr>
                    <w:t>2013</w:t>
                  </w:r>
                </w:p>
              </w:tc>
              <w:tc>
                <w:tcPr>
                  <w:tcW w:w="2542" w:type="dxa"/>
                </w:tcPr>
                <w:p w:rsidR="00BE149C" w:rsidRDefault="00BE149C" w:rsidP="0094207A">
                  <w:pPr>
                    <w:rPr>
                      <w:sz w:val="20"/>
                      <w:szCs w:val="20"/>
                    </w:rPr>
                  </w:pPr>
                  <w:r>
                    <w:rPr>
                      <w:sz w:val="20"/>
                      <w:szCs w:val="20"/>
                    </w:rPr>
                    <w:t>15.5%</w:t>
                  </w:r>
                </w:p>
              </w:tc>
            </w:tr>
            <w:tr w:rsidR="00BE149C" w:rsidTr="00BE149C">
              <w:tc>
                <w:tcPr>
                  <w:tcW w:w="2542" w:type="dxa"/>
                </w:tcPr>
                <w:p w:rsidR="00BE149C" w:rsidRDefault="00BE149C" w:rsidP="0094207A">
                  <w:pPr>
                    <w:rPr>
                      <w:sz w:val="20"/>
                      <w:szCs w:val="20"/>
                    </w:rPr>
                  </w:pPr>
                  <w:r>
                    <w:rPr>
                      <w:sz w:val="20"/>
                      <w:szCs w:val="20"/>
                    </w:rPr>
                    <w:t>2014</w:t>
                  </w:r>
                </w:p>
              </w:tc>
              <w:tc>
                <w:tcPr>
                  <w:tcW w:w="2542" w:type="dxa"/>
                </w:tcPr>
                <w:p w:rsidR="00BE149C" w:rsidRDefault="00BE149C" w:rsidP="0094207A">
                  <w:pPr>
                    <w:rPr>
                      <w:sz w:val="20"/>
                      <w:szCs w:val="20"/>
                    </w:rPr>
                  </w:pPr>
                  <w:r>
                    <w:rPr>
                      <w:sz w:val="20"/>
                      <w:szCs w:val="20"/>
                    </w:rPr>
                    <w:t>15.5%</w:t>
                  </w:r>
                </w:p>
              </w:tc>
            </w:tr>
          </w:tbl>
          <w:p w:rsidR="00BE149C" w:rsidRDefault="00BE149C" w:rsidP="0094207A">
            <w:pPr>
              <w:rPr>
                <w:sz w:val="20"/>
                <w:szCs w:val="20"/>
              </w:rPr>
            </w:pPr>
          </w:p>
          <w:p w:rsidR="00BE149C" w:rsidRPr="00BE149C" w:rsidRDefault="00BE149C" w:rsidP="0094207A">
            <w:pPr>
              <w:rPr>
                <w:sz w:val="20"/>
                <w:szCs w:val="20"/>
              </w:rPr>
            </w:pPr>
            <w:r>
              <w:rPr>
                <w:sz w:val="20"/>
                <w:szCs w:val="20"/>
              </w:rPr>
              <w:t xml:space="preserve">Data source: </w:t>
            </w:r>
            <w:r w:rsidRPr="00BE149C">
              <w:rPr>
                <w:sz w:val="20"/>
                <w:szCs w:val="20"/>
              </w:rPr>
              <w:t>Florida Child Day Care Services, United States Census Bureau, North American Industry Classification System</w:t>
            </w:r>
          </w:p>
          <w:p w:rsidR="00405CD6" w:rsidRPr="00BE149C" w:rsidRDefault="00405CD6" w:rsidP="0094207A">
            <w:pPr>
              <w:rPr>
                <w:sz w:val="20"/>
                <w:szCs w:val="20"/>
              </w:rPr>
            </w:pPr>
          </w:p>
          <w:p w:rsidR="00583288" w:rsidRDefault="00583288" w:rsidP="0094207A">
            <w:pPr>
              <w:rPr>
                <w:sz w:val="20"/>
                <w:szCs w:val="20"/>
              </w:rPr>
            </w:pPr>
          </w:p>
          <w:p w:rsidR="00405CD6" w:rsidRPr="00BE149C" w:rsidRDefault="00405CD6" w:rsidP="0094207A">
            <w:pPr>
              <w:rPr>
                <w:sz w:val="20"/>
                <w:szCs w:val="20"/>
              </w:rPr>
            </w:pPr>
            <w:r w:rsidRPr="00BE149C">
              <w:rPr>
                <w:sz w:val="20"/>
                <w:szCs w:val="20"/>
              </w:rPr>
              <w:t xml:space="preserve">As of 8/4/2015: </w:t>
            </w:r>
            <w:r w:rsidR="00C149FB">
              <w:rPr>
                <w:sz w:val="20"/>
                <w:szCs w:val="20"/>
              </w:rPr>
              <w:t xml:space="preserve">In </w:t>
            </w:r>
            <w:r w:rsidR="00583288">
              <w:rPr>
                <w:sz w:val="20"/>
                <w:szCs w:val="20"/>
              </w:rPr>
              <w:t xml:space="preserve">DCF licensed facilities, </w:t>
            </w:r>
            <w:r w:rsidRPr="00BE149C">
              <w:rPr>
                <w:sz w:val="20"/>
                <w:szCs w:val="20"/>
              </w:rPr>
              <w:t xml:space="preserve">7.65% </w:t>
            </w:r>
            <w:r w:rsidR="00C149FB">
              <w:rPr>
                <w:sz w:val="20"/>
                <w:szCs w:val="20"/>
              </w:rPr>
              <w:t xml:space="preserve">of the staff working directly with children </w:t>
            </w:r>
            <w:r w:rsidR="002C1256" w:rsidRPr="00BE149C">
              <w:rPr>
                <w:sz w:val="20"/>
                <w:szCs w:val="20"/>
              </w:rPr>
              <w:t>had a BA or BS, excluding mixed population</w:t>
            </w:r>
          </w:p>
          <w:p w:rsidR="00583288" w:rsidRDefault="00583288" w:rsidP="0094207A">
            <w:pPr>
              <w:rPr>
                <w:sz w:val="20"/>
                <w:szCs w:val="20"/>
              </w:rPr>
            </w:pPr>
          </w:p>
          <w:p w:rsidR="00583288" w:rsidRDefault="00583288" w:rsidP="00583288">
            <w:pPr>
              <w:rPr>
                <w:sz w:val="20"/>
                <w:szCs w:val="20"/>
              </w:rPr>
            </w:pPr>
            <w:r>
              <w:rPr>
                <w:sz w:val="20"/>
                <w:szCs w:val="20"/>
              </w:rPr>
              <w:t xml:space="preserve">Data source: </w:t>
            </w:r>
          </w:p>
          <w:p w:rsidR="00583288" w:rsidRPr="00583288" w:rsidRDefault="00583288" w:rsidP="00583288">
            <w:pPr>
              <w:rPr>
                <w:sz w:val="20"/>
                <w:szCs w:val="20"/>
              </w:rPr>
            </w:pPr>
            <w:r w:rsidRPr="00583288">
              <w:rPr>
                <w:sz w:val="20"/>
                <w:szCs w:val="20"/>
              </w:rPr>
              <w:t>Staff Credential and Enrollment Data Summary – DCF</w:t>
            </w:r>
          </w:p>
          <w:p w:rsidR="00405CD6" w:rsidRPr="00BE149C" w:rsidRDefault="00583288" w:rsidP="00583288">
            <w:pPr>
              <w:rPr>
                <w:sz w:val="20"/>
                <w:szCs w:val="20"/>
              </w:rPr>
            </w:pPr>
            <w:r w:rsidRPr="00583288">
              <w:rPr>
                <w:sz w:val="20"/>
                <w:szCs w:val="20"/>
              </w:rPr>
              <w:t xml:space="preserve">Number of Operational Facilities with Complete Data: 4,549 </w:t>
            </w:r>
            <w:r w:rsidR="00405CD6" w:rsidRPr="00BE149C">
              <w:rPr>
                <w:sz w:val="20"/>
                <w:szCs w:val="20"/>
              </w:rPr>
              <w:t>(excludes 5 counties that do not use DCF licensing)</w:t>
            </w:r>
          </w:p>
          <w:p w:rsidR="00405CD6" w:rsidRDefault="00405CD6" w:rsidP="0094207A"/>
        </w:tc>
        <w:tc>
          <w:tcPr>
            <w:tcW w:w="1440" w:type="dxa"/>
          </w:tcPr>
          <w:p w:rsidR="0094207A" w:rsidRPr="0020104A" w:rsidRDefault="002C1256" w:rsidP="0094207A">
            <w:pPr>
              <w:rPr>
                <w:b/>
              </w:rPr>
            </w:pPr>
            <w:r w:rsidRPr="001B64D2">
              <w:rPr>
                <w:b/>
                <w:color w:val="0070C0"/>
              </w:rPr>
              <w:t>NO, little or no change</w:t>
            </w:r>
          </w:p>
        </w:tc>
      </w:tr>
    </w:tbl>
    <w:p w:rsidR="00094D82" w:rsidRDefault="00094D82">
      <w:r>
        <w:br w:type="page"/>
      </w:r>
    </w:p>
    <w:tbl>
      <w:tblPr>
        <w:tblStyle w:val="TableGrid"/>
        <w:tblW w:w="15115" w:type="dxa"/>
        <w:tblLayout w:type="fixed"/>
        <w:tblLook w:val="04A0" w:firstRow="1" w:lastRow="0" w:firstColumn="1" w:lastColumn="0" w:noHBand="0" w:noVBand="1"/>
      </w:tblPr>
      <w:tblGrid>
        <w:gridCol w:w="1795"/>
        <w:gridCol w:w="1440"/>
        <w:gridCol w:w="5310"/>
        <w:gridCol w:w="5310"/>
        <w:gridCol w:w="1260"/>
      </w:tblGrid>
      <w:tr w:rsidR="0094207A" w:rsidTr="00BD6EEB">
        <w:tc>
          <w:tcPr>
            <w:tcW w:w="13855" w:type="dxa"/>
            <w:gridSpan w:val="4"/>
            <w:shd w:val="clear" w:color="auto" w:fill="F2F2F2" w:themeFill="background1" w:themeFillShade="F2"/>
          </w:tcPr>
          <w:p w:rsidR="0094207A" w:rsidRPr="004E21C6" w:rsidRDefault="0094207A" w:rsidP="0094207A">
            <w:pPr>
              <w:rPr>
                <w:b/>
              </w:rPr>
            </w:pPr>
            <w:r w:rsidRPr="009154BA">
              <w:rPr>
                <w:b/>
                <w:shd w:val="clear" w:color="auto" w:fill="F2F2F2" w:themeFill="background1" w:themeFillShade="F2"/>
              </w:rPr>
              <w:lastRenderedPageBreak/>
              <w:t xml:space="preserve">Area of Focus: Every Florida Child Lives in a Stable and Nurturing Family </w:t>
            </w:r>
          </w:p>
          <w:p w:rsidR="0094207A" w:rsidRPr="009154BA" w:rsidRDefault="0094207A" w:rsidP="0094207A">
            <w:pPr>
              <w:rPr>
                <w:b/>
                <w:shd w:val="clear" w:color="auto" w:fill="F2F2F2" w:themeFill="background1" w:themeFillShade="F2"/>
              </w:rPr>
            </w:pPr>
          </w:p>
        </w:tc>
        <w:tc>
          <w:tcPr>
            <w:tcW w:w="1260" w:type="dxa"/>
            <w:shd w:val="clear" w:color="auto" w:fill="F2F2F2" w:themeFill="background1" w:themeFillShade="F2"/>
          </w:tcPr>
          <w:p w:rsidR="0094207A" w:rsidRPr="009154BA" w:rsidRDefault="0094207A" w:rsidP="0094207A">
            <w:pPr>
              <w:rPr>
                <w:b/>
                <w:shd w:val="clear" w:color="auto" w:fill="F2F2F2" w:themeFill="background1" w:themeFillShade="F2"/>
              </w:rPr>
            </w:pPr>
          </w:p>
        </w:tc>
      </w:tr>
      <w:tr w:rsidR="002B4D2C" w:rsidTr="00BD6EEB">
        <w:tc>
          <w:tcPr>
            <w:tcW w:w="1795" w:type="dxa"/>
            <w:shd w:val="clear" w:color="auto" w:fill="D9D9D9" w:themeFill="background1" w:themeFillShade="D9"/>
          </w:tcPr>
          <w:p w:rsidR="0094207A" w:rsidRPr="009154BA" w:rsidRDefault="00B72672" w:rsidP="00B72672">
            <w:pPr>
              <w:jc w:val="center"/>
              <w:rPr>
                <w:b/>
              </w:rPr>
            </w:pPr>
            <w:r>
              <w:rPr>
                <w:b/>
              </w:rPr>
              <w:t>Headline Indicator</w:t>
            </w:r>
          </w:p>
        </w:tc>
        <w:tc>
          <w:tcPr>
            <w:tcW w:w="1440" w:type="dxa"/>
            <w:shd w:val="clear" w:color="auto" w:fill="D9D9D9" w:themeFill="background1" w:themeFillShade="D9"/>
          </w:tcPr>
          <w:p w:rsidR="0094207A" w:rsidRPr="009154BA" w:rsidRDefault="00B72672" w:rsidP="00B72672">
            <w:pPr>
              <w:jc w:val="center"/>
              <w:rPr>
                <w:b/>
              </w:rPr>
            </w:pPr>
            <w:r>
              <w:rPr>
                <w:b/>
              </w:rPr>
              <w:t xml:space="preserve">Multiagency Groups </w:t>
            </w:r>
            <w:r w:rsidR="0094207A" w:rsidRPr="009154BA">
              <w:rPr>
                <w:b/>
              </w:rPr>
              <w:t xml:space="preserve"> Related</w:t>
            </w:r>
          </w:p>
        </w:tc>
        <w:tc>
          <w:tcPr>
            <w:tcW w:w="5310" w:type="dxa"/>
            <w:shd w:val="clear" w:color="auto" w:fill="D9D9D9" w:themeFill="background1" w:themeFillShade="D9"/>
          </w:tcPr>
          <w:p w:rsidR="0094207A" w:rsidRPr="009154BA" w:rsidRDefault="0094207A" w:rsidP="00B72672">
            <w:pPr>
              <w:jc w:val="center"/>
              <w:rPr>
                <w:b/>
              </w:rPr>
            </w:pPr>
            <w:r>
              <w:rPr>
                <w:b/>
              </w:rPr>
              <w:t xml:space="preserve">Data Trend From </w:t>
            </w:r>
            <w:r w:rsidR="00B72672">
              <w:rPr>
                <w:b/>
              </w:rPr>
              <w:t xml:space="preserve">Cabinet </w:t>
            </w:r>
            <w:r>
              <w:rPr>
                <w:b/>
              </w:rPr>
              <w:t>Annual Report</w:t>
            </w:r>
          </w:p>
        </w:tc>
        <w:tc>
          <w:tcPr>
            <w:tcW w:w="5310" w:type="dxa"/>
            <w:shd w:val="clear" w:color="auto" w:fill="D9D9D9" w:themeFill="background1" w:themeFillShade="D9"/>
          </w:tcPr>
          <w:p w:rsidR="0094207A" w:rsidRPr="009154BA" w:rsidRDefault="00B72672" w:rsidP="00B72672">
            <w:pPr>
              <w:jc w:val="center"/>
              <w:rPr>
                <w:b/>
              </w:rPr>
            </w:pPr>
            <w:r>
              <w:rPr>
                <w:b/>
              </w:rPr>
              <w:t>Data From Alternative Source</w:t>
            </w:r>
          </w:p>
        </w:tc>
        <w:tc>
          <w:tcPr>
            <w:tcW w:w="1260" w:type="dxa"/>
            <w:shd w:val="clear" w:color="auto" w:fill="D9D9D9" w:themeFill="background1" w:themeFillShade="D9"/>
          </w:tcPr>
          <w:p w:rsidR="0094207A" w:rsidRPr="009154BA" w:rsidRDefault="0094207A" w:rsidP="0094207A">
            <w:pPr>
              <w:rPr>
                <w:b/>
              </w:rPr>
            </w:pPr>
            <w:r>
              <w:rPr>
                <w:b/>
              </w:rPr>
              <w:t xml:space="preserve">Turning the Curve? </w:t>
            </w:r>
          </w:p>
        </w:tc>
      </w:tr>
      <w:tr w:rsidR="002B4D2C" w:rsidTr="00BD6EEB">
        <w:tc>
          <w:tcPr>
            <w:tcW w:w="1795" w:type="dxa"/>
          </w:tcPr>
          <w:p w:rsidR="0010111C" w:rsidRDefault="00B72672" w:rsidP="0094207A">
            <w:pPr>
              <w:rPr>
                <w:b/>
              </w:rPr>
            </w:pPr>
            <w:r w:rsidRPr="00B72672">
              <w:rPr>
                <w:b/>
              </w:rPr>
              <w:t xml:space="preserve">3.1: </w:t>
            </w:r>
          </w:p>
          <w:p w:rsidR="0094207A" w:rsidRPr="00B72672" w:rsidRDefault="00B72672" w:rsidP="0094207A">
            <w:pPr>
              <w:rPr>
                <w:b/>
              </w:rPr>
            </w:pPr>
            <w:r w:rsidRPr="00B72672">
              <w:rPr>
                <w:b/>
              </w:rPr>
              <w:t>Children in p</w:t>
            </w:r>
            <w:r w:rsidR="0094207A" w:rsidRPr="00B72672">
              <w:rPr>
                <w:b/>
              </w:rPr>
              <w:t>overty</w:t>
            </w:r>
          </w:p>
        </w:tc>
        <w:tc>
          <w:tcPr>
            <w:tcW w:w="1440" w:type="dxa"/>
          </w:tcPr>
          <w:p w:rsidR="0094207A" w:rsidRDefault="00654DB5" w:rsidP="0094207A">
            <w:r w:rsidRPr="00654DB5">
              <w:t>None</w:t>
            </w:r>
            <w:r w:rsidR="008A7D98">
              <w:t xml:space="preserve"> known</w:t>
            </w:r>
          </w:p>
          <w:p w:rsidR="00654DB5" w:rsidRDefault="00654DB5" w:rsidP="0094207A"/>
        </w:tc>
        <w:tc>
          <w:tcPr>
            <w:tcW w:w="5310" w:type="dxa"/>
          </w:tcPr>
          <w:p w:rsidR="009642CC" w:rsidRDefault="00094D82" w:rsidP="0094207A">
            <w:r>
              <w:rPr>
                <w:b/>
                <w:noProof/>
                <w:shd w:val="clear" w:color="auto" w:fill="F2F2F2" w:themeFill="background1" w:themeFillShade="F2"/>
              </w:rPr>
              <w:drawing>
                <wp:inline distT="0" distB="0" distL="0" distR="0" wp14:anchorId="563116BA" wp14:editId="3441CD97">
                  <wp:extent cx="3248025" cy="18764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47F1" w:rsidRDefault="00A247F1" w:rsidP="00A247F1">
            <w:pPr>
              <w:rPr>
                <w:sz w:val="20"/>
              </w:rPr>
            </w:pPr>
          </w:p>
          <w:p w:rsidR="008D6409" w:rsidRPr="00A247F1" w:rsidRDefault="008D6409" w:rsidP="00A247F1">
            <w:pPr>
              <w:rPr>
                <w:sz w:val="20"/>
              </w:rPr>
            </w:pPr>
            <w:r w:rsidRPr="00A247F1">
              <w:rPr>
                <w:sz w:val="20"/>
              </w:rPr>
              <w:t>Indicator definition: Percentage of children under age 18 who live in families with incomes below the federal poverty level.  In calendar year 2012, a family of two adults and two children fell in the “poverty” category if their annual income fell below $23,283.  This amount is higher than the annual income amount of $21,758 identified in 2009.</w:t>
            </w:r>
          </w:p>
          <w:p w:rsidR="009642CC" w:rsidRDefault="009642CC" w:rsidP="0094207A"/>
        </w:tc>
        <w:tc>
          <w:tcPr>
            <w:tcW w:w="5310" w:type="dxa"/>
            <w:shd w:val="clear" w:color="auto" w:fill="FFFFFF" w:themeFill="background1"/>
          </w:tcPr>
          <w:p w:rsidR="008638DC" w:rsidRDefault="008638DC" w:rsidP="003802B8">
            <w:pPr>
              <w:shd w:val="clear" w:color="auto" w:fill="FFFFFF" w:themeFill="background1"/>
              <w:spacing w:line="225" w:lineRule="atLeast"/>
            </w:pPr>
          </w:p>
          <w:p w:rsidR="008638DC" w:rsidRPr="00A53F79" w:rsidRDefault="008638DC" w:rsidP="003802B8">
            <w:pPr>
              <w:shd w:val="clear" w:color="auto" w:fill="FFFFFF" w:themeFill="background1"/>
              <w:spacing w:line="225" w:lineRule="atLeast"/>
              <w:rPr>
                <w:sz w:val="20"/>
                <w:szCs w:val="20"/>
              </w:rPr>
            </w:pPr>
            <w:r w:rsidRPr="00A53F79">
              <w:rPr>
                <w:sz w:val="20"/>
                <w:szCs w:val="20"/>
              </w:rPr>
              <w:t>2013: 25.4%</w:t>
            </w:r>
          </w:p>
          <w:p w:rsidR="008638DC" w:rsidRPr="00A53F79" w:rsidRDefault="008638DC" w:rsidP="003802B8">
            <w:pPr>
              <w:shd w:val="clear" w:color="auto" w:fill="FFFFFF" w:themeFill="background1"/>
              <w:spacing w:line="225" w:lineRule="atLeast"/>
              <w:rPr>
                <w:sz w:val="20"/>
                <w:szCs w:val="20"/>
              </w:rPr>
            </w:pPr>
            <w:r w:rsidRPr="00A53F79">
              <w:rPr>
                <w:sz w:val="20"/>
                <w:szCs w:val="20"/>
              </w:rPr>
              <w:t>90% confidence interval of estimate</w:t>
            </w:r>
          </w:p>
          <w:p w:rsidR="008638DC" w:rsidRDefault="008638DC" w:rsidP="003802B8">
            <w:pPr>
              <w:shd w:val="clear" w:color="auto" w:fill="FFFFFF" w:themeFill="background1"/>
              <w:spacing w:line="225" w:lineRule="atLeast"/>
            </w:pPr>
            <w:r w:rsidRPr="00A53F79">
              <w:rPr>
                <w:sz w:val="20"/>
                <w:szCs w:val="20"/>
              </w:rPr>
              <w:t>United States Department of Agriculture, Economic Research Service</w:t>
            </w:r>
          </w:p>
        </w:tc>
        <w:tc>
          <w:tcPr>
            <w:tcW w:w="1260" w:type="dxa"/>
          </w:tcPr>
          <w:p w:rsidR="0094207A" w:rsidRPr="0020104A" w:rsidRDefault="006C787F" w:rsidP="0094207A">
            <w:pPr>
              <w:rPr>
                <w:b/>
              </w:rPr>
            </w:pPr>
            <w:r w:rsidRPr="0020104A">
              <w:rPr>
                <w:b/>
                <w:color w:val="0070C0"/>
              </w:rPr>
              <w:t xml:space="preserve">NO, </w:t>
            </w:r>
            <w:r w:rsidR="0094207A" w:rsidRPr="0020104A">
              <w:rPr>
                <w:b/>
                <w:color w:val="0070C0"/>
              </w:rPr>
              <w:t>worsening</w:t>
            </w:r>
          </w:p>
        </w:tc>
      </w:tr>
    </w:tbl>
    <w:p w:rsidR="00B72672" w:rsidRDefault="00B72672">
      <w:r>
        <w:br w:type="page"/>
      </w:r>
    </w:p>
    <w:tbl>
      <w:tblPr>
        <w:tblStyle w:val="TableGrid"/>
        <w:tblW w:w="15295" w:type="dxa"/>
        <w:tblLayout w:type="fixed"/>
        <w:tblLook w:val="04A0" w:firstRow="1" w:lastRow="0" w:firstColumn="1" w:lastColumn="0" w:noHBand="0" w:noVBand="1"/>
      </w:tblPr>
      <w:tblGrid>
        <w:gridCol w:w="1795"/>
        <w:gridCol w:w="1440"/>
        <w:gridCol w:w="5310"/>
        <w:gridCol w:w="5400"/>
        <w:gridCol w:w="1350"/>
      </w:tblGrid>
      <w:tr w:rsidR="00B72672" w:rsidRPr="004E21C6" w:rsidTr="00B72672">
        <w:tc>
          <w:tcPr>
            <w:tcW w:w="13945" w:type="dxa"/>
            <w:gridSpan w:val="4"/>
            <w:shd w:val="clear" w:color="auto" w:fill="F2F2F2" w:themeFill="background1" w:themeFillShade="F2"/>
          </w:tcPr>
          <w:p w:rsidR="00B72672" w:rsidRDefault="00B72672" w:rsidP="00B72672">
            <w:pPr>
              <w:rPr>
                <w:b/>
              </w:rPr>
            </w:pPr>
            <w:r w:rsidRPr="00B72672">
              <w:rPr>
                <w:b/>
              </w:rPr>
              <w:lastRenderedPageBreak/>
              <w:t>Area of Focus: Every Florida Child Lives in a Stable and Nurturing Family</w:t>
            </w:r>
          </w:p>
          <w:p w:rsidR="00B72672" w:rsidRPr="004E21C6" w:rsidRDefault="00B72672" w:rsidP="00B72672">
            <w:pPr>
              <w:rPr>
                <w:b/>
              </w:rPr>
            </w:pPr>
          </w:p>
        </w:tc>
        <w:tc>
          <w:tcPr>
            <w:tcW w:w="1350" w:type="dxa"/>
            <w:shd w:val="clear" w:color="auto" w:fill="F2F2F2" w:themeFill="background1" w:themeFillShade="F2"/>
          </w:tcPr>
          <w:p w:rsidR="00B72672" w:rsidRPr="004E21C6" w:rsidRDefault="00B72672" w:rsidP="00607AF0">
            <w:pPr>
              <w:rPr>
                <w:b/>
              </w:rPr>
            </w:pPr>
          </w:p>
        </w:tc>
      </w:tr>
      <w:tr w:rsidR="00B72672" w:rsidRPr="009154BA" w:rsidTr="00B72672">
        <w:tc>
          <w:tcPr>
            <w:tcW w:w="1795" w:type="dxa"/>
            <w:shd w:val="clear" w:color="auto" w:fill="D9D9D9" w:themeFill="background1" w:themeFillShade="D9"/>
          </w:tcPr>
          <w:p w:rsidR="00B72672" w:rsidRPr="009154BA" w:rsidRDefault="00B72672" w:rsidP="00607AF0">
            <w:pPr>
              <w:jc w:val="center"/>
              <w:rPr>
                <w:b/>
              </w:rPr>
            </w:pPr>
            <w:r>
              <w:rPr>
                <w:b/>
              </w:rPr>
              <w:t>Headline Indicator</w:t>
            </w:r>
          </w:p>
        </w:tc>
        <w:tc>
          <w:tcPr>
            <w:tcW w:w="1440" w:type="dxa"/>
            <w:shd w:val="clear" w:color="auto" w:fill="D9D9D9" w:themeFill="background1" w:themeFillShade="D9"/>
          </w:tcPr>
          <w:p w:rsidR="00B72672" w:rsidRPr="009154BA" w:rsidRDefault="00B72672" w:rsidP="00607AF0">
            <w:pPr>
              <w:jc w:val="center"/>
              <w:rPr>
                <w:b/>
              </w:rPr>
            </w:pPr>
            <w:r>
              <w:rPr>
                <w:b/>
              </w:rPr>
              <w:t xml:space="preserve">Multiagency Groups </w:t>
            </w:r>
            <w:r w:rsidRPr="009154BA">
              <w:rPr>
                <w:b/>
              </w:rPr>
              <w:t>Related</w:t>
            </w:r>
          </w:p>
        </w:tc>
        <w:tc>
          <w:tcPr>
            <w:tcW w:w="5310" w:type="dxa"/>
            <w:shd w:val="clear" w:color="auto" w:fill="D9D9D9" w:themeFill="background1" w:themeFillShade="D9"/>
          </w:tcPr>
          <w:p w:rsidR="00B72672" w:rsidRPr="009154BA" w:rsidRDefault="00B72672" w:rsidP="00607AF0">
            <w:pPr>
              <w:jc w:val="center"/>
              <w:rPr>
                <w:b/>
              </w:rPr>
            </w:pPr>
            <w:r>
              <w:rPr>
                <w:b/>
              </w:rPr>
              <w:t>Data Trend From Cabinet Annual Report</w:t>
            </w:r>
          </w:p>
        </w:tc>
        <w:tc>
          <w:tcPr>
            <w:tcW w:w="5400" w:type="dxa"/>
            <w:shd w:val="clear" w:color="auto" w:fill="D9D9D9" w:themeFill="background1" w:themeFillShade="D9"/>
          </w:tcPr>
          <w:p w:rsidR="00B72672" w:rsidRPr="009154BA" w:rsidRDefault="00B72672" w:rsidP="00607AF0">
            <w:pPr>
              <w:jc w:val="center"/>
              <w:rPr>
                <w:b/>
              </w:rPr>
            </w:pPr>
            <w:r>
              <w:rPr>
                <w:b/>
              </w:rPr>
              <w:t>Data From Alternative Source</w:t>
            </w:r>
          </w:p>
        </w:tc>
        <w:tc>
          <w:tcPr>
            <w:tcW w:w="1350" w:type="dxa"/>
            <w:shd w:val="clear" w:color="auto" w:fill="D9D9D9" w:themeFill="background1" w:themeFillShade="D9"/>
          </w:tcPr>
          <w:p w:rsidR="00B72672" w:rsidRPr="009154BA" w:rsidRDefault="00B72672" w:rsidP="00607AF0">
            <w:pPr>
              <w:jc w:val="center"/>
              <w:rPr>
                <w:b/>
              </w:rPr>
            </w:pPr>
            <w:r>
              <w:rPr>
                <w:b/>
              </w:rPr>
              <w:t>Turning the Curve?</w:t>
            </w:r>
          </w:p>
        </w:tc>
      </w:tr>
      <w:tr w:rsidR="002B4D2C" w:rsidTr="00A53F79">
        <w:tc>
          <w:tcPr>
            <w:tcW w:w="1795" w:type="dxa"/>
          </w:tcPr>
          <w:p w:rsidR="0010111C" w:rsidRDefault="0094207A" w:rsidP="0094207A">
            <w:pPr>
              <w:rPr>
                <w:b/>
              </w:rPr>
            </w:pPr>
            <w:r w:rsidRPr="00B72672">
              <w:rPr>
                <w:b/>
              </w:rPr>
              <w:t xml:space="preserve">3.2: </w:t>
            </w:r>
          </w:p>
          <w:p w:rsidR="0094207A" w:rsidRPr="00B72672" w:rsidRDefault="0094207A" w:rsidP="0094207A">
            <w:pPr>
              <w:rPr>
                <w:b/>
              </w:rPr>
            </w:pPr>
            <w:r w:rsidRPr="00B72672">
              <w:rPr>
                <w:b/>
              </w:rPr>
              <w:t xml:space="preserve">Children who are </w:t>
            </w:r>
            <w:r w:rsidR="00B72672" w:rsidRPr="00B72672">
              <w:rPr>
                <w:b/>
              </w:rPr>
              <w:t>m</w:t>
            </w:r>
            <w:r w:rsidRPr="00B72672">
              <w:rPr>
                <w:b/>
              </w:rPr>
              <w:t>altreated</w:t>
            </w:r>
          </w:p>
        </w:tc>
        <w:tc>
          <w:tcPr>
            <w:tcW w:w="1440" w:type="dxa"/>
          </w:tcPr>
          <w:p w:rsidR="003354E3" w:rsidRPr="003354E3" w:rsidRDefault="003354E3" w:rsidP="003354E3">
            <w:pPr>
              <w:rPr>
                <w:sz w:val="18"/>
              </w:rPr>
            </w:pPr>
            <w:r>
              <w:rPr>
                <w:sz w:val="18"/>
              </w:rPr>
              <w:t xml:space="preserve">- </w:t>
            </w:r>
            <w:r w:rsidRPr="003354E3">
              <w:rPr>
                <w:sz w:val="18"/>
              </w:rPr>
              <w:t>Child Abuse Death Review Committee</w:t>
            </w:r>
          </w:p>
          <w:p w:rsidR="003354E3" w:rsidRPr="003354E3" w:rsidRDefault="003354E3" w:rsidP="003354E3">
            <w:pPr>
              <w:rPr>
                <w:sz w:val="18"/>
              </w:rPr>
            </w:pPr>
            <w:r w:rsidRPr="003354E3">
              <w:rPr>
                <w:sz w:val="18"/>
              </w:rPr>
              <w:t>- Child Abuse Prev. and Perm. Adv. Council</w:t>
            </w:r>
          </w:p>
          <w:p w:rsidR="003354E3" w:rsidRPr="003354E3" w:rsidRDefault="003354E3" w:rsidP="003354E3">
            <w:pPr>
              <w:rPr>
                <w:sz w:val="18"/>
              </w:rPr>
            </w:pPr>
            <w:r w:rsidRPr="003354E3">
              <w:rPr>
                <w:sz w:val="18"/>
              </w:rPr>
              <w:t>- Multi-Agency Child Welfare Workgroup</w:t>
            </w:r>
          </w:p>
          <w:p w:rsidR="003354E3" w:rsidRPr="003354E3" w:rsidRDefault="003354E3" w:rsidP="003354E3">
            <w:pPr>
              <w:rPr>
                <w:sz w:val="18"/>
              </w:rPr>
            </w:pPr>
            <w:r w:rsidRPr="003354E3">
              <w:rPr>
                <w:sz w:val="18"/>
              </w:rPr>
              <w:t>- Statew</w:t>
            </w:r>
            <w:r>
              <w:rPr>
                <w:sz w:val="18"/>
              </w:rPr>
              <w:t>ide Council on Human Traff.</w:t>
            </w:r>
          </w:p>
          <w:p w:rsidR="003354E3" w:rsidRPr="003354E3" w:rsidRDefault="003354E3" w:rsidP="003354E3">
            <w:pPr>
              <w:rPr>
                <w:sz w:val="18"/>
              </w:rPr>
            </w:pPr>
            <w:r w:rsidRPr="003354E3">
              <w:rPr>
                <w:sz w:val="18"/>
              </w:rPr>
              <w:t xml:space="preserve">- </w:t>
            </w:r>
            <w:r>
              <w:rPr>
                <w:sz w:val="18"/>
              </w:rPr>
              <w:t>Statewide Trauma Inform</w:t>
            </w:r>
            <w:r w:rsidRPr="003354E3">
              <w:rPr>
                <w:sz w:val="18"/>
              </w:rPr>
              <w:t xml:space="preserve"> Care Workgroup</w:t>
            </w:r>
          </w:p>
          <w:p w:rsidR="003354E3" w:rsidRPr="003354E3" w:rsidRDefault="003354E3" w:rsidP="003354E3">
            <w:pPr>
              <w:rPr>
                <w:sz w:val="18"/>
              </w:rPr>
            </w:pPr>
            <w:r w:rsidRPr="003354E3">
              <w:rPr>
                <w:sz w:val="18"/>
              </w:rPr>
              <w:t>- Supreme Court Committee on Children and Families in the Court</w:t>
            </w:r>
          </w:p>
          <w:p w:rsidR="003354E3" w:rsidRPr="003354E3" w:rsidRDefault="003354E3" w:rsidP="003354E3">
            <w:pPr>
              <w:rPr>
                <w:sz w:val="18"/>
              </w:rPr>
            </w:pPr>
            <w:r w:rsidRPr="003354E3">
              <w:rPr>
                <w:sz w:val="18"/>
              </w:rPr>
              <w:t xml:space="preserve">- System of Care Core </w:t>
            </w:r>
            <w:r>
              <w:rPr>
                <w:sz w:val="18"/>
              </w:rPr>
              <w:t>Interag.</w:t>
            </w:r>
            <w:r w:rsidRPr="003354E3">
              <w:rPr>
                <w:sz w:val="18"/>
              </w:rPr>
              <w:t xml:space="preserve"> Collaboration Subcommittee</w:t>
            </w:r>
          </w:p>
          <w:p w:rsidR="0094207A" w:rsidRDefault="003354E3" w:rsidP="003354E3">
            <w:pPr>
              <w:rPr>
                <w:sz w:val="18"/>
              </w:rPr>
            </w:pPr>
            <w:r w:rsidRPr="003354E3">
              <w:rPr>
                <w:sz w:val="18"/>
              </w:rPr>
              <w:t>- Young Child Wellness Council (Project LAUNCH)</w:t>
            </w:r>
          </w:p>
          <w:p w:rsidR="00A53F79" w:rsidRDefault="00A53F79" w:rsidP="003354E3">
            <w:pPr>
              <w:rPr>
                <w:sz w:val="18"/>
              </w:rPr>
            </w:pPr>
          </w:p>
          <w:p w:rsidR="00A53F79" w:rsidRPr="003354E3" w:rsidRDefault="00A53F79" w:rsidP="003354E3">
            <w:pPr>
              <w:rPr>
                <w:sz w:val="18"/>
              </w:rPr>
            </w:pPr>
          </w:p>
        </w:tc>
        <w:tc>
          <w:tcPr>
            <w:tcW w:w="5310" w:type="dxa"/>
          </w:tcPr>
          <w:p w:rsidR="00B72672" w:rsidRDefault="002E1026" w:rsidP="00B72672">
            <w:pPr>
              <w:rPr>
                <w:rFonts w:ascii="Times New Roman" w:hAnsi="Times New Roman"/>
                <w:i/>
              </w:rPr>
            </w:pPr>
            <w:r>
              <w:rPr>
                <w:b/>
                <w:noProof/>
                <w:shd w:val="clear" w:color="auto" w:fill="F2F2F2" w:themeFill="background1" w:themeFillShade="F2"/>
              </w:rPr>
              <w:drawing>
                <wp:inline distT="0" distB="0" distL="0" distR="0" wp14:anchorId="0B0CF058" wp14:editId="0A6D1F49">
                  <wp:extent cx="3248025" cy="1876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284852">
              <w:rPr>
                <w:rFonts w:ascii="Times New Roman" w:hAnsi="Times New Roman"/>
                <w:i/>
              </w:rPr>
              <w:t xml:space="preserve"> </w:t>
            </w:r>
          </w:p>
          <w:p w:rsidR="00B72672" w:rsidRDefault="00B72672" w:rsidP="00B72672">
            <w:pPr>
              <w:rPr>
                <w:rFonts w:ascii="Times New Roman" w:hAnsi="Times New Roman"/>
                <w:i/>
              </w:rPr>
            </w:pPr>
          </w:p>
          <w:p w:rsidR="002E1026" w:rsidRPr="00284852" w:rsidRDefault="002E1026" w:rsidP="00B72672">
            <w:pPr>
              <w:rPr>
                <w:rFonts w:ascii="Times New Roman" w:hAnsi="Times New Roman"/>
              </w:rPr>
            </w:pPr>
            <w:r w:rsidRPr="00B72672">
              <w:rPr>
                <w:sz w:val="20"/>
              </w:rPr>
              <w:t>Indicator definition: Rate of children with verified maltreatment per 1,000 children</w:t>
            </w:r>
          </w:p>
          <w:p w:rsidR="009642CC" w:rsidRDefault="009642CC" w:rsidP="0094207A"/>
        </w:tc>
        <w:tc>
          <w:tcPr>
            <w:tcW w:w="5400" w:type="dxa"/>
            <w:shd w:val="clear" w:color="auto" w:fill="FFFFFF" w:themeFill="background1"/>
          </w:tcPr>
          <w:p w:rsidR="00D43A33" w:rsidRDefault="00D43A33" w:rsidP="00D43A33">
            <w:pPr>
              <w:rPr>
                <w:sz w:val="20"/>
              </w:rPr>
            </w:pPr>
          </w:p>
          <w:p w:rsidR="00D43A33" w:rsidRDefault="00D43A33" w:rsidP="00D43A33">
            <w:pPr>
              <w:rPr>
                <w:sz w:val="20"/>
              </w:rPr>
            </w:pPr>
            <w:r>
              <w:rPr>
                <w:sz w:val="20"/>
              </w:rPr>
              <w:t>Dependency court filings</w:t>
            </w:r>
          </w:p>
          <w:p w:rsidR="00A53F79" w:rsidRDefault="00A53F79" w:rsidP="00D43A33">
            <w:pPr>
              <w:rPr>
                <w:sz w:val="20"/>
              </w:rPr>
            </w:pPr>
          </w:p>
          <w:p w:rsidR="00D43A33" w:rsidRDefault="00D43A33" w:rsidP="00D43A33">
            <w:pPr>
              <w:rPr>
                <w:sz w:val="20"/>
              </w:rPr>
            </w:pPr>
          </w:p>
          <w:tbl>
            <w:tblPr>
              <w:tblStyle w:val="TableGrid"/>
              <w:tblpPr w:leftFromText="180" w:rightFromText="180" w:vertAnchor="text" w:horzAnchor="margin" w:tblpX="-95" w:tblpY="-226"/>
              <w:tblOverlap w:val="never"/>
              <w:tblW w:w="5575" w:type="dxa"/>
              <w:tblLayout w:type="fixed"/>
              <w:tblLook w:val="04A0" w:firstRow="1" w:lastRow="0" w:firstColumn="1" w:lastColumn="0" w:noHBand="0" w:noVBand="1"/>
            </w:tblPr>
            <w:tblGrid>
              <w:gridCol w:w="445"/>
              <w:gridCol w:w="810"/>
              <w:gridCol w:w="900"/>
              <w:gridCol w:w="810"/>
              <w:gridCol w:w="810"/>
              <w:gridCol w:w="810"/>
              <w:gridCol w:w="990"/>
            </w:tblGrid>
            <w:tr w:rsidR="000C3317" w:rsidRPr="00F44FE1" w:rsidTr="000C3317">
              <w:tc>
                <w:tcPr>
                  <w:tcW w:w="445" w:type="dxa"/>
                </w:tcPr>
                <w:p w:rsidR="000C3317" w:rsidRPr="00F44FE1" w:rsidRDefault="000C3317" w:rsidP="00D43A33">
                  <w:pPr>
                    <w:rPr>
                      <w:sz w:val="20"/>
                      <w:szCs w:val="20"/>
                    </w:rPr>
                  </w:pPr>
                  <w:r>
                    <w:rPr>
                      <w:sz w:val="20"/>
                      <w:szCs w:val="20"/>
                    </w:rPr>
                    <w:t>FY</w:t>
                  </w:r>
                </w:p>
              </w:tc>
              <w:tc>
                <w:tcPr>
                  <w:tcW w:w="810" w:type="dxa"/>
                </w:tcPr>
                <w:p w:rsidR="000C3317" w:rsidRPr="00F44FE1" w:rsidRDefault="000C3317" w:rsidP="00D43A33">
                  <w:pPr>
                    <w:rPr>
                      <w:sz w:val="20"/>
                      <w:szCs w:val="20"/>
                    </w:rPr>
                  </w:pPr>
                  <w:r w:rsidRPr="00F44FE1">
                    <w:rPr>
                      <w:sz w:val="20"/>
                      <w:szCs w:val="20"/>
                    </w:rPr>
                    <w:t>09</w:t>
                  </w:r>
                  <w:r>
                    <w:rPr>
                      <w:sz w:val="20"/>
                      <w:szCs w:val="20"/>
                    </w:rPr>
                    <w:t>-</w:t>
                  </w:r>
                  <w:r w:rsidRPr="00F44FE1">
                    <w:rPr>
                      <w:sz w:val="20"/>
                      <w:szCs w:val="20"/>
                    </w:rPr>
                    <w:t>10</w:t>
                  </w:r>
                </w:p>
              </w:tc>
              <w:tc>
                <w:tcPr>
                  <w:tcW w:w="900" w:type="dxa"/>
                </w:tcPr>
                <w:p w:rsidR="000C3317" w:rsidRPr="00F44FE1" w:rsidRDefault="000C3317" w:rsidP="00D43A33">
                  <w:pPr>
                    <w:rPr>
                      <w:sz w:val="20"/>
                      <w:szCs w:val="20"/>
                    </w:rPr>
                  </w:pPr>
                  <w:r>
                    <w:rPr>
                      <w:sz w:val="20"/>
                      <w:szCs w:val="20"/>
                    </w:rPr>
                    <w:t>10-</w:t>
                  </w:r>
                  <w:r w:rsidRPr="00F44FE1">
                    <w:rPr>
                      <w:sz w:val="20"/>
                      <w:szCs w:val="20"/>
                    </w:rPr>
                    <w:t>11</w:t>
                  </w:r>
                </w:p>
              </w:tc>
              <w:tc>
                <w:tcPr>
                  <w:tcW w:w="810" w:type="dxa"/>
                </w:tcPr>
                <w:p w:rsidR="000C3317" w:rsidRPr="00F44FE1" w:rsidRDefault="000C3317" w:rsidP="00D43A33">
                  <w:pPr>
                    <w:rPr>
                      <w:sz w:val="20"/>
                      <w:szCs w:val="20"/>
                    </w:rPr>
                  </w:pPr>
                  <w:r>
                    <w:rPr>
                      <w:sz w:val="20"/>
                      <w:szCs w:val="20"/>
                    </w:rPr>
                    <w:t>11-</w:t>
                  </w:r>
                  <w:r w:rsidRPr="00F44FE1">
                    <w:rPr>
                      <w:sz w:val="20"/>
                      <w:szCs w:val="20"/>
                    </w:rPr>
                    <w:t>12</w:t>
                  </w:r>
                </w:p>
              </w:tc>
              <w:tc>
                <w:tcPr>
                  <w:tcW w:w="810" w:type="dxa"/>
                </w:tcPr>
                <w:p w:rsidR="000C3317" w:rsidRPr="00F44FE1" w:rsidRDefault="000C3317" w:rsidP="00D43A33">
                  <w:pPr>
                    <w:rPr>
                      <w:sz w:val="20"/>
                      <w:szCs w:val="20"/>
                    </w:rPr>
                  </w:pPr>
                  <w:r>
                    <w:rPr>
                      <w:sz w:val="20"/>
                      <w:szCs w:val="20"/>
                    </w:rPr>
                    <w:t>12-</w:t>
                  </w:r>
                  <w:r w:rsidRPr="00F44FE1">
                    <w:rPr>
                      <w:sz w:val="20"/>
                      <w:szCs w:val="20"/>
                    </w:rPr>
                    <w:t>13</w:t>
                  </w:r>
                </w:p>
              </w:tc>
              <w:tc>
                <w:tcPr>
                  <w:tcW w:w="810" w:type="dxa"/>
                </w:tcPr>
                <w:p w:rsidR="000C3317" w:rsidRPr="00F44FE1" w:rsidRDefault="000C3317" w:rsidP="00D43A33">
                  <w:pPr>
                    <w:rPr>
                      <w:sz w:val="20"/>
                      <w:szCs w:val="20"/>
                    </w:rPr>
                  </w:pPr>
                  <w:r>
                    <w:rPr>
                      <w:sz w:val="20"/>
                      <w:szCs w:val="20"/>
                    </w:rPr>
                    <w:t>13-14</w:t>
                  </w:r>
                </w:p>
              </w:tc>
              <w:tc>
                <w:tcPr>
                  <w:tcW w:w="990" w:type="dxa"/>
                </w:tcPr>
                <w:p w:rsidR="000C3317" w:rsidRDefault="000C3317" w:rsidP="00D43A33">
                  <w:pPr>
                    <w:rPr>
                      <w:sz w:val="20"/>
                      <w:szCs w:val="20"/>
                    </w:rPr>
                  </w:pPr>
                  <w:r>
                    <w:rPr>
                      <w:sz w:val="20"/>
                      <w:szCs w:val="20"/>
                    </w:rPr>
                    <w:t>14-15</w:t>
                  </w:r>
                </w:p>
              </w:tc>
            </w:tr>
            <w:tr w:rsidR="000C3317" w:rsidRPr="00F44FE1" w:rsidTr="000C3317">
              <w:tc>
                <w:tcPr>
                  <w:tcW w:w="445" w:type="dxa"/>
                </w:tcPr>
                <w:p w:rsidR="000C3317" w:rsidRPr="00F44FE1" w:rsidRDefault="000C3317" w:rsidP="00D43A33">
                  <w:pPr>
                    <w:rPr>
                      <w:sz w:val="20"/>
                      <w:szCs w:val="20"/>
                    </w:rPr>
                  </w:pPr>
                  <w:r>
                    <w:rPr>
                      <w:sz w:val="20"/>
                      <w:szCs w:val="20"/>
                    </w:rPr>
                    <w:t xml:space="preserve"># </w:t>
                  </w:r>
                </w:p>
              </w:tc>
              <w:tc>
                <w:tcPr>
                  <w:tcW w:w="810" w:type="dxa"/>
                </w:tcPr>
                <w:p w:rsidR="000C3317" w:rsidRPr="00F44FE1" w:rsidRDefault="000C3317" w:rsidP="00D43A33">
                  <w:pPr>
                    <w:rPr>
                      <w:sz w:val="20"/>
                      <w:szCs w:val="20"/>
                    </w:rPr>
                  </w:pPr>
                  <w:r>
                    <w:rPr>
                      <w:sz w:val="20"/>
                      <w:szCs w:val="20"/>
                    </w:rPr>
                    <w:t>11,923</w:t>
                  </w:r>
                </w:p>
              </w:tc>
              <w:tc>
                <w:tcPr>
                  <w:tcW w:w="900" w:type="dxa"/>
                </w:tcPr>
                <w:p w:rsidR="000C3317" w:rsidRPr="00F44FE1" w:rsidRDefault="000C3317" w:rsidP="00D43A33">
                  <w:pPr>
                    <w:rPr>
                      <w:sz w:val="20"/>
                      <w:szCs w:val="20"/>
                    </w:rPr>
                  </w:pPr>
                  <w:r>
                    <w:rPr>
                      <w:sz w:val="20"/>
                      <w:szCs w:val="20"/>
                    </w:rPr>
                    <w:t>12,483</w:t>
                  </w:r>
                </w:p>
              </w:tc>
              <w:tc>
                <w:tcPr>
                  <w:tcW w:w="810" w:type="dxa"/>
                </w:tcPr>
                <w:p w:rsidR="000C3317" w:rsidRPr="00F44FE1" w:rsidRDefault="000C3317" w:rsidP="00D43A33">
                  <w:pPr>
                    <w:rPr>
                      <w:sz w:val="20"/>
                      <w:szCs w:val="20"/>
                    </w:rPr>
                  </w:pPr>
                  <w:r>
                    <w:rPr>
                      <w:sz w:val="20"/>
                      <w:szCs w:val="20"/>
                    </w:rPr>
                    <w:t>12,968</w:t>
                  </w:r>
                </w:p>
              </w:tc>
              <w:tc>
                <w:tcPr>
                  <w:tcW w:w="810" w:type="dxa"/>
                </w:tcPr>
                <w:p w:rsidR="000C3317" w:rsidRPr="00F44FE1" w:rsidRDefault="000C3317" w:rsidP="00D43A33">
                  <w:pPr>
                    <w:rPr>
                      <w:sz w:val="20"/>
                      <w:szCs w:val="20"/>
                    </w:rPr>
                  </w:pPr>
                  <w:r>
                    <w:rPr>
                      <w:sz w:val="20"/>
                      <w:szCs w:val="20"/>
                    </w:rPr>
                    <w:t>11,783</w:t>
                  </w:r>
                </w:p>
              </w:tc>
              <w:tc>
                <w:tcPr>
                  <w:tcW w:w="810" w:type="dxa"/>
                </w:tcPr>
                <w:p w:rsidR="000C3317" w:rsidRPr="00F44FE1" w:rsidRDefault="000C3317" w:rsidP="00D43A33">
                  <w:pPr>
                    <w:rPr>
                      <w:sz w:val="20"/>
                      <w:szCs w:val="20"/>
                    </w:rPr>
                  </w:pPr>
                  <w:r>
                    <w:rPr>
                      <w:sz w:val="20"/>
                      <w:szCs w:val="20"/>
                    </w:rPr>
                    <w:t>13,009</w:t>
                  </w:r>
                </w:p>
              </w:tc>
              <w:tc>
                <w:tcPr>
                  <w:tcW w:w="990" w:type="dxa"/>
                </w:tcPr>
                <w:p w:rsidR="000C3317" w:rsidRPr="00F44FE1" w:rsidRDefault="000C3317" w:rsidP="00D43A33">
                  <w:pPr>
                    <w:rPr>
                      <w:sz w:val="20"/>
                      <w:szCs w:val="20"/>
                    </w:rPr>
                  </w:pPr>
                  <w:r>
                    <w:rPr>
                      <w:sz w:val="20"/>
                      <w:szCs w:val="20"/>
                    </w:rPr>
                    <w:t>14,061</w:t>
                  </w:r>
                </w:p>
              </w:tc>
            </w:tr>
          </w:tbl>
          <w:p w:rsidR="00E63850" w:rsidRDefault="00D43A33" w:rsidP="00A53F79">
            <w:pPr>
              <w:shd w:val="clear" w:color="auto" w:fill="FFFFFF" w:themeFill="background1"/>
              <w:spacing w:line="225" w:lineRule="atLeast"/>
            </w:pPr>
            <w:r>
              <w:rPr>
                <w:sz w:val="20"/>
              </w:rPr>
              <w:t>Source: Trial Court Statistical Reference Guides, Florida Office of the State Courts Administrator</w:t>
            </w:r>
          </w:p>
          <w:p w:rsidR="00D43A33" w:rsidRDefault="00D43A33" w:rsidP="00A53F79">
            <w:pPr>
              <w:shd w:val="clear" w:color="auto" w:fill="FFFFFF" w:themeFill="background1"/>
              <w:spacing w:line="225" w:lineRule="atLeast"/>
            </w:pPr>
          </w:p>
          <w:p w:rsidR="00D43A33" w:rsidRDefault="00D43A33" w:rsidP="00A53F79">
            <w:pPr>
              <w:shd w:val="clear" w:color="auto" w:fill="FFFFFF" w:themeFill="background1"/>
              <w:spacing w:line="225" w:lineRule="atLeast"/>
            </w:pPr>
          </w:p>
          <w:p w:rsidR="00D43A33" w:rsidRDefault="00D43A33" w:rsidP="00A53F79">
            <w:pPr>
              <w:shd w:val="clear" w:color="auto" w:fill="FFFFFF" w:themeFill="background1"/>
              <w:spacing w:line="225" w:lineRule="atLeast"/>
            </w:pPr>
          </w:p>
          <w:p w:rsidR="00D43A33" w:rsidRDefault="00D43A33"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A53F79">
            <w:pPr>
              <w:shd w:val="clear" w:color="auto" w:fill="FFFFFF" w:themeFill="background1"/>
              <w:spacing w:line="225" w:lineRule="atLeast"/>
            </w:pPr>
          </w:p>
          <w:p w:rsidR="00A53F79" w:rsidRDefault="00A53F79" w:rsidP="00D43A33">
            <w:pPr>
              <w:shd w:val="clear" w:color="auto" w:fill="F7F7F8"/>
              <w:spacing w:line="225" w:lineRule="atLeast"/>
            </w:pPr>
          </w:p>
        </w:tc>
        <w:tc>
          <w:tcPr>
            <w:tcW w:w="1350" w:type="dxa"/>
          </w:tcPr>
          <w:p w:rsidR="0094207A" w:rsidRPr="0020104A" w:rsidRDefault="009F2C51" w:rsidP="0094207A">
            <w:pPr>
              <w:rPr>
                <w:b/>
              </w:rPr>
            </w:pPr>
            <w:r>
              <w:rPr>
                <w:b/>
                <w:color w:val="0070C0"/>
              </w:rPr>
              <w:t xml:space="preserve">UNKNOWN, </w:t>
            </w:r>
            <w:r w:rsidR="001B64D2" w:rsidRPr="0020104A">
              <w:rPr>
                <w:b/>
                <w:color w:val="0070C0"/>
              </w:rPr>
              <w:t>Conflicting data</w:t>
            </w:r>
          </w:p>
        </w:tc>
      </w:tr>
    </w:tbl>
    <w:p w:rsidR="00B72672" w:rsidRDefault="00B72672">
      <w:r>
        <w:br w:type="page"/>
      </w:r>
    </w:p>
    <w:tbl>
      <w:tblPr>
        <w:tblStyle w:val="TableGrid"/>
        <w:tblW w:w="15295" w:type="dxa"/>
        <w:tblLayout w:type="fixed"/>
        <w:tblLook w:val="04A0" w:firstRow="1" w:lastRow="0" w:firstColumn="1" w:lastColumn="0" w:noHBand="0" w:noVBand="1"/>
      </w:tblPr>
      <w:tblGrid>
        <w:gridCol w:w="1795"/>
        <w:gridCol w:w="1440"/>
        <w:gridCol w:w="5310"/>
        <w:gridCol w:w="5220"/>
        <w:gridCol w:w="1530"/>
      </w:tblGrid>
      <w:tr w:rsidR="00B72672" w:rsidRPr="004E21C6" w:rsidTr="0020104A">
        <w:tc>
          <w:tcPr>
            <w:tcW w:w="13765" w:type="dxa"/>
            <w:gridSpan w:val="4"/>
            <w:shd w:val="clear" w:color="auto" w:fill="F2F2F2" w:themeFill="background1" w:themeFillShade="F2"/>
          </w:tcPr>
          <w:p w:rsidR="00B72672" w:rsidRDefault="00B72672" w:rsidP="00B72672">
            <w:pPr>
              <w:rPr>
                <w:b/>
              </w:rPr>
            </w:pPr>
            <w:r w:rsidRPr="00B72672">
              <w:rPr>
                <w:b/>
              </w:rPr>
              <w:lastRenderedPageBreak/>
              <w:t>Area of Focus: Every Florida Child Lives in a Stable and Nurturing Family</w:t>
            </w:r>
          </w:p>
          <w:p w:rsidR="00B72672" w:rsidRPr="004E21C6" w:rsidRDefault="00B72672" w:rsidP="00B72672">
            <w:pPr>
              <w:rPr>
                <w:b/>
              </w:rPr>
            </w:pPr>
          </w:p>
        </w:tc>
        <w:tc>
          <w:tcPr>
            <w:tcW w:w="1530" w:type="dxa"/>
            <w:shd w:val="clear" w:color="auto" w:fill="F2F2F2" w:themeFill="background1" w:themeFillShade="F2"/>
          </w:tcPr>
          <w:p w:rsidR="00B72672" w:rsidRPr="004E21C6" w:rsidRDefault="00B72672" w:rsidP="00607AF0">
            <w:pPr>
              <w:rPr>
                <w:b/>
              </w:rPr>
            </w:pPr>
          </w:p>
        </w:tc>
      </w:tr>
      <w:tr w:rsidR="00B72672" w:rsidRPr="009154BA" w:rsidTr="0020104A">
        <w:tc>
          <w:tcPr>
            <w:tcW w:w="1795" w:type="dxa"/>
            <w:shd w:val="clear" w:color="auto" w:fill="D9D9D9" w:themeFill="background1" w:themeFillShade="D9"/>
          </w:tcPr>
          <w:p w:rsidR="00B72672" w:rsidRPr="009154BA" w:rsidRDefault="00B72672" w:rsidP="00607AF0">
            <w:pPr>
              <w:jc w:val="center"/>
              <w:rPr>
                <w:b/>
              </w:rPr>
            </w:pPr>
            <w:r>
              <w:rPr>
                <w:b/>
              </w:rPr>
              <w:t>Headline Indicator</w:t>
            </w:r>
          </w:p>
        </w:tc>
        <w:tc>
          <w:tcPr>
            <w:tcW w:w="1440" w:type="dxa"/>
            <w:shd w:val="clear" w:color="auto" w:fill="D9D9D9" w:themeFill="background1" w:themeFillShade="D9"/>
          </w:tcPr>
          <w:p w:rsidR="00B72672" w:rsidRPr="009154BA" w:rsidRDefault="00B72672" w:rsidP="00607AF0">
            <w:pPr>
              <w:jc w:val="center"/>
              <w:rPr>
                <w:b/>
              </w:rPr>
            </w:pPr>
            <w:r>
              <w:rPr>
                <w:b/>
              </w:rPr>
              <w:t xml:space="preserve">Multiagency Groups </w:t>
            </w:r>
            <w:r w:rsidRPr="009154BA">
              <w:rPr>
                <w:b/>
              </w:rPr>
              <w:t>Related</w:t>
            </w:r>
          </w:p>
        </w:tc>
        <w:tc>
          <w:tcPr>
            <w:tcW w:w="5310" w:type="dxa"/>
            <w:shd w:val="clear" w:color="auto" w:fill="D9D9D9" w:themeFill="background1" w:themeFillShade="D9"/>
          </w:tcPr>
          <w:p w:rsidR="00B72672" w:rsidRPr="009154BA" w:rsidRDefault="00B72672" w:rsidP="00607AF0">
            <w:pPr>
              <w:jc w:val="center"/>
              <w:rPr>
                <w:b/>
              </w:rPr>
            </w:pPr>
            <w:r>
              <w:rPr>
                <w:b/>
              </w:rPr>
              <w:t>Data Trend From Cabinet Annual Report</w:t>
            </w:r>
          </w:p>
        </w:tc>
        <w:tc>
          <w:tcPr>
            <w:tcW w:w="5220" w:type="dxa"/>
            <w:shd w:val="clear" w:color="auto" w:fill="D9D9D9" w:themeFill="background1" w:themeFillShade="D9"/>
          </w:tcPr>
          <w:p w:rsidR="00B72672" w:rsidRPr="009154BA" w:rsidRDefault="00B72672" w:rsidP="00607AF0">
            <w:pPr>
              <w:jc w:val="center"/>
              <w:rPr>
                <w:b/>
              </w:rPr>
            </w:pPr>
            <w:r>
              <w:rPr>
                <w:b/>
              </w:rPr>
              <w:t>Data From Alternative Source</w:t>
            </w:r>
          </w:p>
        </w:tc>
        <w:tc>
          <w:tcPr>
            <w:tcW w:w="1530" w:type="dxa"/>
            <w:shd w:val="clear" w:color="auto" w:fill="D9D9D9" w:themeFill="background1" w:themeFillShade="D9"/>
          </w:tcPr>
          <w:p w:rsidR="00B72672" w:rsidRPr="009154BA" w:rsidRDefault="00B72672" w:rsidP="00607AF0">
            <w:pPr>
              <w:jc w:val="center"/>
              <w:rPr>
                <w:b/>
              </w:rPr>
            </w:pPr>
            <w:r>
              <w:rPr>
                <w:b/>
              </w:rPr>
              <w:t>Turning the Curve?</w:t>
            </w:r>
          </w:p>
        </w:tc>
      </w:tr>
      <w:tr w:rsidR="002B4D2C" w:rsidTr="0020104A">
        <w:tc>
          <w:tcPr>
            <w:tcW w:w="1795" w:type="dxa"/>
          </w:tcPr>
          <w:p w:rsidR="0010111C" w:rsidRDefault="00B72672" w:rsidP="0094207A">
            <w:pPr>
              <w:rPr>
                <w:b/>
              </w:rPr>
            </w:pPr>
            <w:r w:rsidRPr="00B72672">
              <w:rPr>
                <w:b/>
              </w:rPr>
              <w:t xml:space="preserve">3.3: </w:t>
            </w:r>
          </w:p>
          <w:p w:rsidR="0094207A" w:rsidRPr="00B72672" w:rsidRDefault="00B72672" w:rsidP="0094207A">
            <w:pPr>
              <w:rPr>
                <w:b/>
              </w:rPr>
            </w:pPr>
            <w:r w:rsidRPr="00B72672">
              <w:rPr>
                <w:b/>
              </w:rPr>
              <w:t>Teen b</w:t>
            </w:r>
            <w:r w:rsidR="0094207A" w:rsidRPr="00B72672">
              <w:rPr>
                <w:b/>
              </w:rPr>
              <w:t>irths</w:t>
            </w:r>
          </w:p>
        </w:tc>
        <w:tc>
          <w:tcPr>
            <w:tcW w:w="1440" w:type="dxa"/>
          </w:tcPr>
          <w:p w:rsidR="00557821" w:rsidRPr="008A7D98" w:rsidRDefault="008A7D98" w:rsidP="00654DB5">
            <w:r w:rsidRPr="008A7D98">
              <w:t xml:space="preserve">None </w:t>
            </w:r>
            <w:r>
              <w:t>known</w:t>
            </w:r>
          </w:p>
        </w:tc>
        <w:tc>
          <w:tcPr>
            <w:tcW w:w="5310" w:type="dxa"/>
          </w:tcPr>
          <w:p w:rsidR="00B72672" w:rsidRDefault="002E1026" w:rsidP="00B72672">
            <w:pPr>
              <w:jc w:val="both"/>
              <w:rPr>
                <w:rFonts w:ascii="Times New Roman" w:eastAsia="Calibri" w:hAnsi="Times New Roman" w:cs="Times New Roman"/>
                <w:i/>
              </w:rPr>
            </w:pPr>
            <w:r>
              <w:rPr>
                <w:b/>
                <w:noProof/>
                <w:shd w:val="clear" w:color="auto" w:fill="F2F2F2" w:themeFill="background1" w:themeFillShade="F2"/>
              </w:rPr>
              <w:drawing>
                <wp:inline distT="0" distB="0" distL="0" distR="0" wp14:anchorId="111D8054" wp14:editId="33D0CE30">
                  <wp:extent cx="3248025" cy="280035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250DCE" w:rsidRPr="00250DCE">
              <w:rPr>
                <w:rFonts w:ascii="Times New Roman" w:eastAsia="Calibri" w:hAnsi="Times New Roman" w:cs="Times New Roman"/>
                <w:i/>
              </w:rPr>
              <w:t xml:space="preserve"> </w:t>
            </w:r>
          </w:p>
          <w:p w:rsidR="00B72672" w:rsidRDefault="00B72672" w:rsidP="00B72672">
            <w:pPr>
              <w:jc w:val="both"/>
              <w:rPr>
                <w:rFonts w:ascii="Times New Roman" w:eastAsia="Calibri" w:hAnsi="Times New Roman" w:cs="Times New Roman"/>
                <w:i/>
              </w:rPr>
            </w:pPr>
          </w:p>
          <w:p w:rsidR="00250DCE" w:rsidRPr="00250DCE" w:rsidRDefault="00250DCE" w:rsidP="00B72672">
            <w:pPr>
              <w:jc w:val="both"/>
              <w:rPr>
                <w:rFonts w:ascii="Times New Roman" w:eastAsia="Calibri" w:hAnsi="Times New Roman" w:cs="Times New Roman"/>
                <w:b/>
                <w:i/>
              </w:rPr>
            </w:pPr>
            <w:r w:rsidRPr="00B72672">
              <w:rPr>
                <w:rFonts w:eastAsia="Calibri" w:cs="Times New Roman"/>
                <w:sz w:val="20"/>
              </w:rPr>
              <w:t>Indicator definition: Rate of birth to teenagers by age group.  Rate is per 1,000 females in each age group.  Data reflects the mother’s place of residence, rather than the child’s place of the birth.</w:t>
            </w:r>
          </w:p>
          <w:p w:rsidR="0094207A" w:rsidRDefault="0094207A" w:rsidP="0094207A"/>
          <w:p w:rsidR="009642CC" w:rsidRDefault="009642CC" w:rsidP="0094207A"/>
        </w:tc>
        <w:tc>
          <w:tcPr>
            <w:tcW w:w="5220" w:type="dxa"/>
          </w:tcPr>
          <w:p w:rsidR="0094207A" w:rsidRPr="00D16BBE" w:rsidRDefault="0094207A" w:rsidP="0094207A">
            <w:pPr>
              <w:rPr>
                <w:sz w:val="20"/>
              </w:rPr>
            </w:pPr>
            <w:r w:rsidRPr="00D16BBE">
              <w:rPr>
                <w:sz w:val="20"/>
              </w:rPr>
              <w:t xml:space="preserve">Age Group:       2009     </w:t>
            </w:r>
            <w:r w:rsidR="00E04D2F">
              <w:rPr>
                <w:sz w:val="20"/>
              </w:rPr>
              <w:t xml:space="preserve">   </w:t>
            </w:r>
            <w:r w:rsidRPr="00D16BBE">
              <w:rPr>
                <w:sz w:val="20"/>
              </w:rPr>
              <w:t xml:space="preserve">2010     </w:t>
            </w:r>
            <w:r w:rsidR="00E04D2F">
              <w:rPr>
                <w:sz w:val="20"/>
              </w:rPr>
              <w:t xml:space="preserve">   </w:t>
            </w:r>
            <w:r w:rsidRPr="00D16BBE">
              <w:rPr>
                <w:sz w:val="20"/>
              </w:rPr>
              <w:t xml:space="preserve"> 2011    </w:t>
            </w:r>
            <w:r w:rsidR="00E04D2F">
              <w:rPr>
                <w:sz w:val="20"/>
              </w:rPr>
              <w:t xml:space="preserve">   </w:t>
            </w:r>
            <w:r w:rsidRPr="00D16BBE">
              <w:rPr>
                <w:sz w:val="20"/>
              </w:rPr>
              <w:t xml:space="preserve"> 2012      </w:t>
            </w:r>
            <w:r w:rsidR="00E04D2F">
              <w:rPr>
                <w:sz w:val="20"/>
              </w:rPr>
              <w:t xml:space="preserve">   </w:t>
            </w:r>
            <w:r w:rsidRPr="00D16BBE">
              <w:rPr>
                <w:sz w:val="20"/>
              </w:rPr>
              <w:t>2013</w:t>
            </w:r>
          </w:p>
          <w:p w:rsidR="0094207A" w:rsidRDefault="0094207A" w:rsidP="0094207A">
            <w:pPr>
              <w:rPr>
                <w:sz w:val="20"/>
              </w:rPr>
            </w:pPr>
            <w:r w:rsidRPr="00D16BBE">
              <w:rPr>
                <w:sz w:val="20"/>
              </w:rPr>
              <w:t xml:space="preserve">Less than 20     22,281  </w:t>
            </w:r>
            <w:r w:rsidR="00E04D2F">
              <w:rPr>
                <w:sz w:val="20"/>
              </w:rPr>
              <w:t xml:space="preserve">   </w:t>
            </w:r>
            <w:r w:rsidRPr="00D16BBE">
              <w:rPr>
                <w:sz w:val="20"/>
              </w:rPr>
              <w:t xml:space="preserve">19,376  </w:t>
            </w:r>
            <w:r w:rsidR="00E04D2F">
              <w:rPr>
                <w:sz w:val="20"/>
              </w:rPr>
              <w:t xml:space="preserve">   </w:t>
            </w:r>
            <w:r w:rsidRPr="00D16BBE">
              <w:rPr>
                <w:sz w:val="20"/>
              </w:rPr>
              <w:t xml:space="preserve">17,317  </w:t>
            </w:r>
            <w:r w:rsidR="00E04D2F">
              <w:rPr>
                <w:sz w:val="20"/>
              </w:rPr>
              <w:t xml:space="preserve">   </w:t>
            </w:r>
            <w:r w:rsidRPr="00D16BBE">
              <w:rPr>
                <w:sz w:val="20"/>
              </w:rPr>
              <w:t xml:space="preserve">16,144  </w:t>
            </w:r>
            <w:r w:rsidR="00E04D2F">
              <w:rPr>
                <w:sz w:val="20"/>
              </w:rPr>
              <w:t xml:space="preserve">   </w:t>
            </w:r>
            <w:r w:rsidRPr="00D16BBE">
              <w:rPr>
                <w:sz w:val="20"/>
              </w:rPr>
              <w:t>14,127</w:t>
            </w:r>
          </w:p>
          <w:p w:rsidR="00E63850" w:rsidRDefault="00E63850" w:rsidP="0094207A">
            <w:pPr>
              <w:rPr>
                <w:sz w:val="20"/>
              </w:rPr>
            </w:pPr>
          </w:p>
          <w:p w:rsidR="00E63850" w:rsidRPr="00B72672" w:rsidRDefault="00E63850" w:rsidP="00A53F79">
            <w:pPr>
              <w:shd w:val="clear" w:color="auto" w:fill="FFFFFF" w:themeFill="background1"/>
              <w:spacing w:after="150" w:line="225" w:lineRule="atLeast"/>
              <w:rPr>
                <w:rFonts w:eastAsia="Times New Roman" w:cs="Times New Roman"/>
                <w:color w:val="333333"/>
                <w:sz w:val="20"/>
                <w:szCs w:val="20"/>
              </w:rPr>
            </w:pPr>
            <w:r w:rsidRPr="00B72672">
              <w:rPr>
                <w:rFonts w:eastAsia="Times New Roman" w:cs="Times New Roman"/>
                <w:b/>
                <w:bCs/>
                <w:color w:val="333333"/>
                <w:sz w:val="20"/>
                <w:szCs w:val="20"/>
              </w:rPr>
              <w:t>Definitions:</w:t>
            </w:r>
            <w:r w:rsidRPr="00B72672">
              <w:rPr>
                <w:rFonts w:eastAsia="Times New Roman" w:cs="Times New Roman"/>
                <w:color w:val="333333"/>
                <w:sz w:val="20"/>
                <w:szCs w:val="20"/>
              </w:rPr>
              <w:t xml:space="preserve"> Births to teenagers by age group. Rate is per 1,000 females in each age group.</w:t>
            </w:r>
            <w:r w:rsidRPr="00B72672">
              <w:rPr>
                <w:rFonts w:eastAsia="Times New Roman" w:cs="Times New Roman"/>
                <w:color w:val="333333"/>
                <w:sz w:val="20"/>
                <w:szCs w:val="20"/>
              </w:rPr>
              <w:br/>
              <w:t xml:space="preserve">Data reflect the mother’s place of residence, rather than the place of the birth. </w:t>
            </w:r>
          </w:p>
          <w:p w:rsidR="00E63850" w:rsidRPr="00B72672" w:rsidRDefault="00E63850" w:rsidP="00A53F79">
            <w:pPr>
              <w:shd w:val="clear" w:color="auto" w:fill="FFFFFF" w:themeFill="background1"/>
              <w:spacing w:line="225" w:lineRule="atLeast"/>
              <w:rPr>
                <w:rFonts w:eastAsia="Times New Roman" w:cs="Times New Roman"/>
                <w:color w:val="333333"/>
                <w:sz w:val="20"/>
                <w:szCs w:val="20"/>
              </w:rPr>
            </w:pPr>
            <w:r w:rsidRPr="00B72672">
              <w:rPr>
                <w:rFonts w:eastAsia="Times New Roman" w:cs="Times New Roman"/>
                <w:b/>
                <w:bCs/>
                <w:color w:val="333333"/>
                <w:sz w:val="20"/>
                <w:szCs w:val="20"/>
              </w:rPr>
              <w:t>Data Source:</w:t>
            </w:r>
            <w:r w:rsidRPr="00B72672">
              <w:rPr>
                <w:rFonts w:eastAsia="Times New Roman" w:cs="Times New Roman"/>
                <w:color w:val="333333"/>
                <w:sz w:val="20"/>
                <w:szCs w:val="20"/>
              </w:rPr>
              <w:t xml:space="preserve"> Centers for Disease Control and Prevention, National Center for Health Statistics. </w:t>
            </w:r>
            <w:r w:rsidRPr="00B72672">
              <w:rPr>
                <w:rFonts w:eastAsia="Times New Roman" w:cs="Times New Roman"/>
                <w:color w:val="333333"/>
                <w:sz w:val="20"/>
                <w:szCs w:val="20"/>
              </w:rPr>
              <w:br/>
              <w:t>U.S. Census Bureau, Population Division</w:t>
            </w:r>
            <w:r w:rsidRPr="00B72672">
              <w:rPr>
                <w:rFonts w:eastAsia="Times New Roman" w:cs="Times New Roman"/>
                <w:color w:val="333333"/>
                <w:sz w:val="20"/>
                <w:szCs w:val="20"/>
              </w:rPr>
              <w:br/>
              <w:t>1990 - 2012 state births are from the National Center for Health Statistics (NCHS), National Vital Statistics Reports or can be accessed through the NCHS VitalStats system. City births are from public use micro-data files provided by NCHS. Birth Data for the city of Miami and Jacksonville is not available for 2004 and 2005.</w:t>
            </w:r>
            <w:r w:rsidRPr="00B72672">
              <w:rPr>
                <w:rFonts w:eastAsia="Times New Roman" w:cs="Times New Roman"/>
                <w:color w:val="333333"/>
                <w:sz w:val="20"/>
                <w:szCs w:val="20"/>
              </w:rPr>
              <w:br/>
            </w:r>
            <w:r w:rsidRPr="00B72672">
              <w:rPr>
                <w:rFonts w:eastAsia="Times New Roman" w:cs="Times New Roman"/>
                <w:color w:val="333333"/>
                <w:sz w:val="20"/>
                <w:szCs w:val="20"/>
              </w:rPr>
              <w:br/>
              <w:t>1990 through 2012 United States resident population estimates of females ages 15-19 from the State Characteristics Population Estimates File by Age, Sex, Race, and Hispanic Origin, 6 race groups - 5 race alone groups and one multiple race group accessed online at http://www.census.gov/popest/</w:t>
            </w:r>
            <w:r w:rsidRPr="00B72672">
              <w:rPr>
                <w:rFonts w:eastAsia="Times New Roman" w:cs="Times New Roman"/>
                <w:color w:val="333333"/>
                <w:sz w:val="20"/>
                <w:szCs w:val="20"/>
              </w:rPr>
              <w:br/>
              <w:t xml:space="preserve">Teen birth rates for cities are not available due to the absence of population estimates for females ages 15 to 19 for all cities. The total number of teen births, however, are available and posted for each age group. </w:t>
            </w:r>
            <w:r w:rsidRPr="00B72672">
              <w:rPr>
                <w:rFonts w:eastAsia="Times New Roman" w:cs="Times New Roman"/>
                <w:color w:val="333333"/>
                <w:sz w:val="20"/>
                <w:szCs w:val="20"/>
              </w:rPr>
              <w:br/>
              <w:t xml:space="preserve">Birth rates for births to women under age 20 and under age 15 are not available because the age group is open ended. </w:t>
            </w:r>
          </w:p>
          <w:p w:rsidR="00E63850" w:rsidRDefault="00E63850" w:rsidP="0094207A"/>
        </w:tc>
        <w:tc>
          <w:tcPr>
            <w:tcW w:w="1530" w:type="dxa"/>
          </w:tcPr>
          <w:p w:rsidR="0094207A" w:rsidRPr="0020104A" w:rsidRDefault="00B72672" w:rsidP="0094207A">
            <w:pPr>
              <w:rPr>
                <w:b/>
              </w:rPr>
            </w:pPr>
            <w:r w:rsidRPr="0020104A">
              <w:rPr>
                <w:b/>
                <w:color w:val="0070C0"/>
              </w:rPr>
              <w:t>YES, steady improvement</w:t>
            </w:r>
          </w:p>
        </w:tc>
      </w:tr>
    </w:tbl>
    <w:p w:rsidR="002E1026" w:rsidRDefault="002E1026">
      <w:r>
        <w:br w:type="page"/>
      </w:r>
    </w:p>
    <w:tbl>
      <w:tblPr>
        <w:tblStyle w:val="TableGrid"/>
        <w:tblW w:w="15295" w:type="dxa"/>
        <w:tblLayout w:type="fixed"/>
        <w:tblLook w:val="04A0" w:firstRow="1" w:lastRow="0" w:firstColumn="1" w:lastColumn="0" w:noHBand="0" w:noVBand="1"/>
      </w:tblPr>
      <w:tblGrid>
        <w:gridCol w:w="1778"/>
        <w:gridCol w:w="1428"/>
        <w:gridCol w:w="4979"/>
        <w:gridCol w:w="5580"/>
        <w:gridCol w:w="1530"/>
      </w:tblGrid>
      <w:tr w:rsidR="0094207A" w:rsidTr="00B72672">
        <w:tc>
          <w:tcPr>
            <w:tcW w:w="15295" w:type="dxa"/>
            <w:gridSpan w:val="5"/>
            <w:shd w:val="clear" w:color="auto" w:fill="F2F2F2" w:themeFill="background1" w:themeFillShade="F2"/>
          </w:tcPr>
          <w:p w:rsidR="0094207A" w:rsidRDefault="0094207A" w:rsidP="0094207A">
            <w:pPr>
              <w:rPr>
                <w:b/>
              </w:rPr>
            </w:pPr>
            <w:r w:rsidRPr="009154BA">
              <w:rPr>
                <w:b/>
              </w:rPr>
              <w:lastRenderedPageBreak/>
              <w:t>Area of Focus: Every Florida Child Lives in a Safe and Supportive Community</w:t>
            </w:r>
          </w:p>
          <w:p w:rsidR="00B72672" w:rsidRPr="009154BA" w:rsidRDefault="00B72672" w:rsidP="0094207A">
            <w:pPr>
              <w:rPr>
                <w:b/>
              </w:rPr>
            </w:pPr>
          </w:p>
        </w:tc>
      </w:tr>
      <w:tr w:rsidR="002B4D2C" w:rsidTr="0020104A">
        <w:tc>
          <w:tcPr>
            <w:tcW w:w="1778" w:type="dxa"/>
            <w:shd w:val="clear" w:color="auto" w:fill="D9D9D9" w:themeFill="background1" w:themeFillShade="D9"/>
          </w:tcPr>
          <w:p w:rsidR="0094207A" w:rsidRPr="009154BA" w:rsidRDefault="00B72672" w:rsidP="00B72672">
            <w:pPr>
              <w:jc w:val="center"/>
              <w:rPr>
                <w:b/>
              </w:rPr>
            </w:pPr>
            <w:r>
              <w:rPr>
                <w:b/>
              </w:rPr>
              <w:t>Headline Indicator</w:t>
            </w:r>
          </w:p>
        </w:tc>
        <w:tc>
          <w:tcPr>
            <w:tcW w:w="1428" w:type="dxa"/>
            <w:shd w:val="clear" w:color="auto" w:fill="D9D9D9" w:themeFill="background1" w:themeFillShade="D9"/>
          </w:tcPr>
          <w:p w:rsidR="0094207A" w:rsidRPr="009154BA" w:rsidRDefault="00B72672" w:rsidP="00B72672">
            <w:pPr>
              <w:jc w:val="center"/>
              <w:rPr>
                <w:b/>
              </w:rPr>
            </w:pPr>
            <w:r>
              <w:rPr>
                <w:b/>
              </w:rPr>
              <w:t xml:space="preserve">Multiagency Groups </w:t>
            </w:r>
            <w:r w:rsidR="0094207A" w:rsidRPr="009154BA">
              <w:rPr>
                <w:b/>
              </w:rPr>
              <w:t>Related</w:t>
            </w:r>
          </w:p>
        </w:tc>
        <w:tc>
          <w:tcPr>
            <w:tcW w:w="4979" w:type="dxa"/>
            <w:shd w:val="clear" w:color="auto" w:fill="D9D9D9" w:themeFill="background1" w:themeFillShade="D9"/>
          </w:tcPr>
          <w:p w:rsidR="0094207A" w:rsidRPr="009154BA" w:rsidRDefault="0094207A" w:rsidP="00B72672">
            <w:pPr>
              <w:jc w:val="center"/>
              <w:rPr>
                <w:b/>
              </w:rPr>
            </w:pPr>
            <w:r>
              <w:rPr>
                <w:b/>
              </w:rPr>
              <w:t xml:space="preserve">Data Trend From </w:t>
            </w:r>
            <w:r w:rsidR="00B72672">
              <w:rPr>
                <w:b/>
              </w:rPr>
              <w:t xml:space="preserve">Cabinet </w:t>
            </w:r>
            <w:r>
              <w:rPr>
                <w:b/>
              </w:rPr>
              <w:t>Annual Report</w:t>
            </w:r>
          </w:p>
        </w:tc>
        <w:tc>
          <w:tcPr>
            <w:tcW w:w="5580" w:type="dxa"/>
            <w:shd w:val="clear" w:color="auto" w:fill="D9D9D9" w:themeFill="background1" w:themeFillShade="D9"/>
          </w:tcPr>
          <w:p w:rsidR="0094207A" w:rsidRPr="009154BA" w:rsidRDefault="00B72672" w:rsidP="00B72672">
            <w:pPr>
              <w:jc w:val="center"/>
              <w:rPr>
                <w:b/>
              </w:rPr>
            </w:pPr>
            <w:r>
              <w:rPr>
                <w:b/>
              </w:rPr>
              <w:t>Data From Alternative Source</w:t>
            </w:r>
          </w:p>
        </w:tc>
        <w:tc>
          <w:tcPr>
            <w:tcW w:w="1530" w:type="dxa"/>
            <w:shd w:val="clear" w:color="auto" w:fill="D9D9D9" w:themeFill="background1" w:themeFillShade="D9"/>
          </w:tcPr>
          <w:p w:rsidR="0094207A" w:rsidRPr="009154BA" w:rsidRDefault="0094207A" w:rsidP="00B72672">
            <w:pPr>
              <w:jc w:val="center"/>
              <w:rPr>
                <w:b/>
              </w:rPr>
            </w:pPr>
            <w:r>
              <w:rPr>
                <w:b/>
              </w:rPr>
              <w:t>Turning the Curve?</w:t>
            </w:r>
          </w:p>
        </w:tc>
      </w:tr>
      <w:tr w:rsidR="002B4D2C" w:rsidTr="0020104A">
        <w:tc>
          <w:tcPr>
            <w:tcW w:w="1778" w:type="dxa"/>
          </w:tcPr>
          <w:p w:rsidR="0010111C" w:rsidRDefault="00B72672" w:rsidP="0094207A">
            <w:pPr>
              <w:rPr>
                <w:b/>
              </w:rPr>
            </w:pPr>
            <w:r w:rsidRPr="00B72672">
              <w:rPr>
                <w:b/>
              </w:rPr>
              <w:t xml:space="preserve">4.1: </w:t>
            </w:r>
          </w:p>
          <w:p w:rsidR="0094207A" w:rsidRPr="00B72672" w:rsidRDefault="00B72672" w:rsidP="0094207A">
            <w:pPr>
              <w:rPr>
                <w:b/>
              </w:rPr>
            </w:pPr>
            <w:r w:rsidRPr="00B72672">
              <w:rPr>
                <w:b/>
              </w:rPr>
              <w:t>Domestic v</w:t>
            </w:r>
            <w:r w:rsidR="0094207A" w:rsidRPr="00B72672">
              <w:rPr>
                <w:b/>
              </w:rPr>
              <w:t>iolence</w:t>
            </w:r>
          </w:p>
        </w:tc>
        <w:tc>
          <w:tcPr>
            <w:tcW w:w="1428" w:type="dxa"/>
          </w:tcPr>
          <w:p w:rsidR="003354E3" w:rsidRPr="003354E3" w:rsidRDefault="003354E3" w:rsidP="003354E3">
            <w:pPr>
              <w:rPr>
                <w:sz w:val="18"/>
              </w:rPr>
            </w:pPr>
            <w:r w:rsidRPr="003354E3">
              <w:rPr>
                <w:sz w:val="18"/>
              </w:rPr>
              <w:t>- Child Abuse Death Review Committee</w:t>
            </w:r>
          </w:p>
          <w:p w:rsidR="003354E3" w:rsidRPr="003354E3" w:rsidRDefault="003354E3" w:rsidP="003354E3">
            <w:pPr>
              <w:rPr>
                <w:sz w:val="18"/>
              </w:rPr>
            </w:pPr>
            <w:r>
              <w:rPr>
                <w:sz w:val="18"/>
              </w:rPr>
              <w:t>- Child Abuse Prev.</w:t>
            </w:r>
            <w:r w:rsidRPr="003354E3">
              <w:rPr>
                <w:sz w:val="18"/>
              </w:rPr>
              <w:t xml:space="preserve"> and Perm</w:t>
            </w:r>
            <w:r>
              <w:rPr>
                <w:sz w:val="18"/>
              </w:rPr>
              <w:t>.</w:t>
            </w:r>
            <w:r w:rsidRPr="003354E3">
              <w:rPr>
                <w:sz w:val="18"/>
              </w:rPr>
              <w:t xml:space="preserve"> Adv</w:t>
            </w:r>
            <w:r>
              <w:rPr>
                <w:sz w:val="18"/>
              </w:rPr>
              <w:t xml:space="preserve">. </w:t>
            </w:r>
            <w:r w:rsidRPr="003354E3">
              <w:rPr>
                <w:sz w:val="18"/>
              </w:rPr>
              <w:t>Council</w:t>
            </w:r>
          </w:p>
          <w:p w:rsidR="003354E3" w:rsidRPr="003354E3" w:rsidRDefault="003354E3" w:rsidP="003354E3">
            <w:pPr>
              <w:rPr>
                <w:sz w:val="18"/>
              </w:rPr>
            </w:pPr>
            <w:r w:rsidRPr="003354E3">
              <w:rPr>
                <w:sz w:val="18"/>
              </w:rPr>
              <w:t>- Multi-Agency Child Welfare Workgroup</w:t>
            </w:r>
          </w:p>
          <w:p w:rsidR="003354E3" w:rsidRPr="003354E3" w:rsidRDefault="003354E3" w:rsidP="003354E3">
            <w:pPr>
              <w:rPr>
                <w:sz w:val="18"/>
              </w:rPr>
            </w:pPr>
            <w:r w:rsidRPr="003354E3">
              <w:rPr>
                <w:sz w:val="18"/>
              </w:rPr>
              <w:t>- Statewide Domestic Violence Fatality Review Team</w:t>
            </w:r>
          </w:p>
          <w:p w:rsidR="003354E3" w:rsidRPr="003354E3" w:rsidRDefault="003354E3" w:rsidP="003354E3">
            <w:pPr>
              <w:rPr>
                <w:sz w:val="18"/>
              </w:rPr>
            </w:pPr>
            <w:r w:rsidRPr="003354E3">
              <w:rPr>
                <w:sz w:val="18"/>
              </w:rPr>
              <w:t xml:space="preserve">- </w:t>
            </w:r>
            <w:r>
              <w:rPr>
                <w:sz w:val="18"/>
              </w:rPr>
              <w:t>Statewide Trauma Inform</w:t>
            </w:r>
            <w:r w:rsidRPr="003354E3">
              <w:rPr>
                <w:sz w:val="18"/>
              </w:rPr>
              <w:t xml:space="preserve"> Care Workgroup</w:t>
            </w:r>
          </w:p>
          <w:p w:rsidR="003354E3" w:rsidRPr="003354E3" w:rsidRDefault="003354E3" w:rsidP="003354E3">
            <w:pPr>
              <w:rPr>
                <w:sz w:val="18"/>
              </w:rPr>
            </w:pPr>
            <w:r w:rsidRPr="003354E3">
              <w:rPr>
                <w:sz w:val="18"/>
              </w:rPr>
              <w:t>- Supreme Court Committee on Children and Families in the Court</w:t>
            </w:r>
          </w:p>
          <w:p w:rsidR="003354E3" w:rsidRPr="003354E3" w:rsidRDefault="003354E3" w:rsidP="003354E3">
            <w:pPr>
              <w:rPr>
                <w:sz w:val="18"/>
              </w:rPr>
            </w:pPr>
            <w:r w:rsidRPr="003354E3">
              <w:rPr>
                <w:sz w:val="18"/>
              </w:rPr>
              <w:t>-</w:t>
            </w:r>
            <w:r>
              <w:rPr>
                <w:sz w:val="18"/>
              </w:rPr>
              <w:t xml:space="preserve"> System of Care Core Interag.</w:t>
            </w:r>
            <w:r w:rsidRPr="003354E3">
              <w:rPr>
                <w:sz w:val="18"/>
              </w:rPr>
              <w:t xml:space="preserve"> Collaboration Subcommittee</w:t>
            </w:r>
          </w:p>
          <w:p w:rsidR="0094207A" w:rsidRPr="003354E3" w:rsidRDefault="003354E3" w:rsidP="003354E3">
            <w:pPr>
              <w:rPr>
                <w:sz w:val="18"/>
              </w:rPr>
            </w:pPr>
            <w:r w:rsidRPr="003354E3">
              <w:rPr>
                <w:sz w:val="18"/>
              </w:rPr>
              <w:t>- Young Child Wellness Council (Project LAUNCH)</w:t>
            </w:r>
          </w:p>
        </w:tc>
        <w:tc>
          <w:tcPr>
            <w:tcW w:w="4979" w:type="dxa"/>
          </w:tcPr>
          <w:p w:rsidR="00B72672" w:rsidRDefault="00250DCE" w:rsidP="00B72672">
            <w:pPr>
              <w:rPr>
                <w:rFonts w:ascii="Times New Roman" w:hAnsi="Times New Roman"/>
                <w:i/>
              </w:rPr>
            </w:pPr>
            <w:r>
              <w:rPr>
                <w:b/>
                <w:noProof/>
                <w:shd w:val="clear" w:color="auto" w:fill="F2F2F2" w:themeFill="background1" w:themeFillShade="F2"/>
              </w:rPr>
              <w:drawing>
                <wp:inline distT="0" distB="0" distL="0" distR="0" wp14:anchorId="3B2F3876" wp14:editId="1D95D1A6">
                  <wp:extent cx="3076575" cy="234315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2D6DB1" w:rsidRPr="00284852">
              <w:rPr>
                <w:rFonts w:ascii="Times New Roman" w:hAnsi="Times New Roman"/>
                <w:i/>
              </w:rPr>
              <w:t xml:space="preserve"> </w:t>
            </w:r>
          </w:p>
          <w:p w:rsidR="00B72672" w:rsidRDefault="00B72672" w:rsidP="00B72672">
            <w:pPr>
              <w:rPr>
                <w:rFonts w:ascii="Times New Roman" w:hAnsi="Times New Roman"/>
                <w:i/>
              </w:rPr>
            </w:pPr>
          </w:p>
          <w:p w:rsidR="002D6DB1" w:rsidRPr="00284852" w:rsidRDefault="002D6DB1" w:rsidP="00B72672">
            <w:pPr>
              <w:rPr>
                <w:rFonts w:ascii="Times New Roman" w:hAnsi="Times New Roman"/>
              </w:rPr>
            </w:pPr>
            <w:r w:rsidRPr="00B72672">
              <w:rPr>
                <w:sz w:val="20"/>
              </w:rPr>
              <w:t>Indicator definition: Rate per 100,000 population of statewide reported domestic violence offenses in Florida, 1992 – 2013.  Offenses include murder, manslaughter, forcible rape, forcible sodomy, forcible fondling, aggravated assault, aggravated stalking, simple assault, threat/intimidation, and simple stalking.</w:t>
            </w:r>
          </w:p>
          <w:p w:rsidR="0094207A" w:rsidRDefault="0094207A" w:rsidP="0094207A"/>
        </w:tc>
        <w:tc>
          <w:tcPr>
            <w:tcW w:w="5580" w:type="dxa"/>
          </w:tcPr>
          <w:p w:rsidR="001B4267" w:rsidRDefault="001B4267" w:rsidP="0094207A">
            <w:pPr>
              <w:rPr>
                <w:sz w:val="20"/>
              </w:rPr>
            </w:pPr>
          </w:p>
          <w:p w:rsidR="001B4267" w:rsidRDefault="001B4267" w:rsidP="0094207A">
            <w:pPr>
              <w:rPr>
                <w:sz w:val="20"/>
              </w:rPr>
            </w:pPr>
            <w:r>
              <w:rPr>
                <w:sz w:val="20"/>
              </w:rPr>
              <w:t>Domestic injunction court filings</w:t>
            </w:r>
          </w:p>
          <w:p w:rsidR="001B4267" w:rsidRDefault="001B4267" w:rsidP="0094207A">
            <w:pPr>
              <w:rPr>
                <w:sz w:val="20"/>
              </w:rPr>
            </w:pPr>
          </w:p>
          <w:tbl>
            <w:tblPr>
              <w:tblStyle w:val="TableGrid"/>
              <w:tblpPr w:leftFromText="180" w:rightFromText="180" w:vertAnchor="text" w:horzAnchor="margin" w:tblpX="-95" w:tblpY="-226"/>
              <w:tblOverlap w:val="never"/>
              <w:tblW w:w="5575" w:type="dxa"/>
              <w:tblLayout w:type="fixed"/>
              <w:tblLook w:val="04A0" w:firstRow="1" w:lastRow="0" w:firstColumn="1" w:lastColumn="0" w:noHBand="0" w:noVBand="1"/>
            </w:tblPr>
            <w:tblGrid>
              <w:gridCol w:w="715"/>
              <w:gridCol w:w="810"/>
              <w:gridCol w:w="810"/>
              <w:gridCol w:w="810"/>
              <w:gridCol w:w="810"/>
              <w:gridCol w:w="810"/>
              <w:gridCol w:w="810"/>
            </w:tblGrid>
            <w:tr w:rsidR="001B4267" w:rsidRPr="00F44FE1" w:rsidTr="001B4267">
              <w:tc>
                <w:tcPr>
                  <w:tcW w:w="715" w:type="dxa"/>
                </w:tcPr>
                <w:p w:rsidR="001B4267" w:rsidRPr="00F44FE1" w:rsidRDefault="001B4267" w:rsidP="001B4267">
                  <w:pPr>
                    <w:rPr>
                      <w:sz w:val="20"/>
                      <w:szCs w:val="20"/>
                    </w:rPr>
                  </w:pPr>
                  <w:r>
                    <w:rPr>
                      <w:sz w:val="20"/>
                      <w:szCs w:val="20"/>
                    </w:rPr>
                    <w:t>Fiscal Year</w:t>
                  </w:r>
                </w:p>
              </w:tc>
              <w:tc>
                <w:tcPr>
                  <w:tcW w:w="810" w:type="dxa"/>
                </w:tcPr>
                <w:p w:rsidR="001B4267" w:rsidRPr="00F44FE1" w:rsidRDefault="001B4267" w:rsidP="001B4267">
                  <w:pPr>
                    <w:rPr>
                      <w:sz w:val="20"/>
                      <w:szCs w:val="20"/>
                    </w:rPr>
                  </w:pPr>
                  <w:r>
                    <w:rPr>
                      <w:sz w:val="20"/>
                      <w:szCs w:val="20"/>
                    </w:rPr>
                    <w:t>08-</w:t>
                  </w:r>
                  <w:r w:rsidRPr="00F44FE1">
                    <w:rPr>
                      <w:sz w:val="20"/>
                      <w:szCs w:val="20"/>
                    </w:rPr>
                    <w:t>09</w:t>
                  </w:r>
                </w:p>
              </w:tc>
              <w:tc>
                <w:tcPr>
                  <w:tcW w:w="810" w:type="dxa"/>
                </w:tcPr>
                <w:p w:rsidR="001B4267" w:rsidRPr="00F44FE1" w:rsidRDefault="001B4267" w:rsidP="001B4267">
                  <w:pPr>
                    <w:rPr>
                      <w:sz w:val="20"/>
                      <w:szCs w:val="20"/>
                    </w:rPr>
                  </w:pPr>
                  <w:r w:rsidRPr="00F44FE1">
                    <w:rPr>
                      <w:sz w:val="20"/>
                      <w:szCs w:val="20"/>
                    </w:rPr>
                    <w:t>09</w:t>
                  </w:r>
                  <w:r>
                    <w:rPr>
                      <w:sz w:val="20"/>
                      <w:szCs w:val="20"/>
                    </w:rPr>
                    <w:t>-</w:t>
                  </w:r>
                  <w:r w:rsidRPr="00F44FE1">
                    <w:rPr>
                      <w:sz w:val="20"/>
                      <w:szCs w:val="20"/>
                    </w:rPr>
                    <w:t>10</w:t>
                  </w:r>
                </w:p>
              </w:tc>
              <w:tc>
                <w:tcPr>
                  <w:tcW w:w="810" w:type="dxa"/>
                </w:tcPr>
                <w:p w:rsidR="001B4267" w:rsidRPr="00F44FE1" w:rsidRDefault="001B4267" w:rsidP="001B4267">
                  <w:pPr>
                    <w:rPr>
                      <w:sz w:val="20"/>
                      <w:szCs w:val="20"/>
                    </w:rPr>
                  </w:pPr>
                  <w:r>
                    <w:rPr>
                      <w:sz w:val="20"/>
                      <w:szCs w:val="20"/>
                    </w:rPr>
                    <w:t>10-</w:t>
                  </w:r>
                  <w:r w:rsidRPr="00F44FE1">
                    <w:rPr>
                      <w:sz w:val="20"/>
                      <w:szCs w:val="20"/>
                    </w:rPr>
                    <w:t>11</w:t>
                  </w:r>
                </w:p>
              </w:tc>
              <w:tc>
                <w:tcPr>
                  <w:tcW w:w="810" w:type="dxa"/>
                </w:tcPr>
                <w:p w:rsidR="001B4267" w:rsidRPr="00F44FE1" w:rsidRDefault="001B4267" w:rsidP="001B4267">
                  <w:pPr>
                    <w:rPr>
                      <w:sz w:val="20"/>
                      <w:szCs w:val="20"/>
                    </w:rPr>
                  </w:pPr>
                  <w:r>
                    <w:rPr>
                      <w:sz w:val="20"/>
                      <w:szCs w:val="20"/>
                    </w:rPr>
                    <w:t>11-</w:t>
                  </w:r>
                  <w:r w:rsidRPr="00F44FE1">
                    <w:rPr>
                      <w:sz w:val="20"/>
                      <w:szCs w:val="20"/>
                    </w:rPr>
                    <w:t>12</w:t>
                  </w:r>
                </w:p>
              </w:tc>
              <w:tc>
                <w:tcPr>
                  <w:tcW w:w="810" w:type="dxa"/>
                </w:tcPr>
                <w:p w:rsidR="001B4267" w:rsidRPr="00F44FE1" w:rsidRDefault="001B4267" w:rsidP="001B4267">
                  <w:pPr>
                    <w:rPr>
                      <w:sz w:val="20"/>
                      <w:szCs w:val="20"/>
                    </w:rPr>
                  </w:pPr>
                  <w:r>
                    <w:rPr>
                      <w:sz w:val="20"/>
                      <w:szCs w:val="20"/>
                    </w:rPr>
                    <w:t>12-</w:t>
                  </w:r>
                  <w:r w:rsidRPr="00F44FE1">
                    <w:rPr>
                      <w:sz w:val="20"/>
                      <w:szCs w:val="20"/>
                    </w:rPr>
                    <w:t>13</w:t>
                  </w:r>
                </w:p>
              </w:tc>
              <w:tc>
                <w:tcPr>
                  <w:tcW w:w="810" w:type="dxa"/>
                </w:tcPr>
                <w:p w:rsidR="001B4267" w:rsidRPr="00F44FE1" w:rsidRDefault="001B4267" w:rsidP="001B4267">
                  <w:pPr>
                    <w:rPr>
                      <w:sz w:val="20"/>
                      <w:szCs w:val="20"/>
                    </w:rPr>
                  </w:pPr>
                  <w:r>
                    <w:rPr>
                      <w:sz w:val="20"/>
                      <w:szCs w:val="20"/>
                    </w:rPr>
                    <w:t>13-14</w:t>
                  </w:r>
                </w:p>
              </w:tc>
            </w:tr>
            <w:tr w:rsidR="001B4267" w:rsidRPr="00F44FE1" w:rsidTr="001B4267">
              <w:tc>
                <w:tcPr>
                  <w:tcW w:w="715" w:type="dxa"/>
                </w:tcPr>
                <w:p w:rsidR="001B4267" w:rsidRPr="00F44FE1" w:rsidRDefault="001B4267" w:rsidP="001B4267">
                  <w:pPr>
                    <w:rPr>
                      <w:sz w:val="20"/>
                      <w:szCs w:val="20"/>
                    </w:rPr>
                  </w:pPr>
                  <w:r>
                    <w:rPr>
                      <w:sz w:val="20"/>
                      <w:szCs w:val="20"/>
                    </w:rPr>
                    <w:t xml:space="preserve"># </w:t>
                  </w:r>
                </w:p>
              </w:tc>
              <w:tc>
                <w:tcPr>
                  <w:tcW w:w="810" w:type="dxa"/>
                </w:tcPr>
                <w:p w:rsidR="001B4267" w:rsidRPr="00F44FE1" w:rsidRDefault="001B4267" w:rsidP="001B4267">
                  <w:pPr>
                    <w:rPr>
                      <w:sz w:val="20"/>
                      <w:szCs w:val="20"/>
                    </w:rPr>
                  </w:pPr>
                  <w:r w:rsidRPr="00D16BBE">
                    <w:rPr>
                      <w:sz w:val="20"/>
                    </w:rPr>
                    <w:t xml:space="preserve">92,924    </w:t>
                  </w:r>
                </w:p>
              </w:tc>
              <w:tc>
                <w:tcPr>
                  <w:tcW w:w="810" w:type="dxa"/>
                </w:tcPr>
                <w:p w:rsidR="001B4267" w:rsidRPr="00F44FE1" w:rsidRDefault="001B4267" w:rsidP="001B4267">
                  <w:pPr>
                    <w:rPr>
                      <w:sz w:val="20"/>
                      <w:szCs w:val="20"/>
                    </w:rPr>
                  </w:pPr>
                  <w:r w:rsidRPr="00D16BBE">
                    <w:rPr>
                      <w:sz w:val="20"/>
                    </w:rPr>
                    <w:t xml:space="preserve">89,302     </w:t>
                  </w:r>
                </w:p>
              </w:tc>
              <w:tc>
                <w:tcPr>
                  <w:tcW w:w="810" w:type="dxa"/>
                </w:tcPr>
                <w:p w:rsidR="001B4267" w:rsidRPr="00F44FE1" w:rsidRDefault="001B4267" w:rsidP="001B4267">
                  <w:pPr>
                    <w:rPr>
                      <w:sz w:val="20"/>
                      <w:szCs w:val="20"/>
                    </w:rPr>
                  </w:pPr>
                  <w:r w:rsidRPr="00D16BBE">
                    <w:rPr>
                      <w:sz w:val="20"/>
                    </w:rPr>
                    <w:t xml:space="preserve">87,788    </w:t>
                  </w:r>
                </w:p>
              </w:tc>
              <w:tc>
                <w:tcPr>
                  <w:tcW w:w="810" w:type="dxa"/>
                </w:tcPr>
                <w:p w:rsidR="001B4267" w:rsidRPr="00F44FE1" w:rsidRDefault="001B4267" w:rsidP="001B4267">
                  <w:pPr>
                    <w:rPr>
                      <w:sz w:val="20"/>
                      <w:szCs w:val="20"/>
                    </w:rPr>
                  </w:pPr>
                  <w:r w:rsidRPr="00D16BBE">
                    <w:rPr>
                      <w:sz w:val="20"/>
                    </w:rPr>
                    <w:t xml:space="preserve">85,029    </w:t>
                  </w:r>
                </w:p>
              </w:tc>
              <w:tc>
                <w:tcPr>
                  <w:tcW w:w="810" w:type="dxa"/>
                </w:tcPr>
                <w:p w:rsidR="001B4267" w:rsidRPr="00F44FE1" w:rsidRDefault="001B4267" w:rsidP="001B4267">
                  <w:pPr>
                    <w:rPr>
                      <w:sz w:val="20"/>
                      <w:szCs w:val="20"/>
                    </w:rPr>
                  </w:pPr>
                  <w:r w:rsidRPr="00D16BBE">
                    <w:rPr>
                      <w:sz w:val="20"/>
                    </w:rPr>
                    <w:t xml:space="preserve">79,705   </w:t>
                  </w:r>
                </w:p>
              </w:tc>
              <w:tc>
                <w:tcPr>
                  <w:tcW w:w="810" w:type="dxa"/>
                </w:tcPr>
                <w:p w:rsidR="001B4267" w:rsidRPr="00F44FE1" w:rsidRDefault="001B4267" w:rsidP="001B4267">
                  <w:pPr>
                    <w:rPr>
                      <w:sz w:val="20"/>
                      <w:szCs w:val="20"/>
                    </w:rPr>
                  </w:pPr>
                  <w:r w:rsidRPr="00D16BBE">
                    <w:rPr>
                      <w:sz w:val="20"/>
                    </w:rPr>
                    <w:t xml:space="preserve">76,958    </w:t>
                  </w:r>
                </w:p>
              </w:tc>
            </w:tr>
          </w:tbl>
          <w:p w:rsidR="00E63850" w:rsidRPr="00D16BBE" w:rsidRDefault="00E63850" w:rsidP="001B4267">
            <w:pPr>
              <w:rPr>
                <w:sz w:val="20"/>
              </w:rPr>
            </w:pPr>
            <w:r>
              <w:rPr>
                <w:sz w:val="20"/>
              </w:rPr>
              <w:t>Source: Trial Court Statistical Reference Guides, Florida Office of the State Courts Administrator</w:t>
            </w:r>
          </w:p>
        </w:tc>
        <w:tc>
          <w:tcPr>
            <w:tcW w:w="1530" w:type="dxa"/>
          </w:tcPr>
          <w:p w:rsidR="0094207A" w:rsidRPr="0020104A" w:rsidRDefault="00B72672" w:rsidP="0094207A">
            <w:pPr>
              <w:rPr>
                <w:b/>
              </w:rPr>
            </w:pPr>
            <w:r w:rsidRPr="0020104A">
              <w:rPr>
                <w:b/>
                <w:color w:val="0070C0"/>
              </w:rPr>
              <w:t>YES, steady improvement</w:t>
            </w:r>
          </w:p>
        </w:tc>
      </w:tr>
    </w:tbl>
    <w:p w:rsidR="00B72672" w:rsidRDefault="00B72672">
      <w:r>
        <w:br w:type="page"/>
      </w:r>
    </w:p>
    <w:tbl>
      <w:tblPr>
        <w:tblStyle w:val="TableGrid"/>
        <w:tblW w:w="15295" w:type="dxa"/>
        <w:tblLayout w:type="fixed"/>
        <w:tblLook w:val="04A0" w:firstRow="1" w:lastRow="0" w:firstColumn="1" w:lastColumn="0" w:noHBand="0" w:noVBand="1"/>
      </w:tblPr>
      <w:tblGrid>
        <w:gridCol w:w="1778"/>
        <w:gridCol w:w="17"/>
        <w:gridCol w:w="1411"/>
        <w:gridCol w:w="29"/>
        <w:gridCol w:w="5310"/>
        <w:gridCol w:w="5400"/>
        <w:gridCol w:w="1350"/>
      </w:tblGrid>
      <w:tr w:rsidR="00B72672" w:rsidRPr="004E21C6" w:rsidTr="00607AF0">
        <w:tc>
          <w:tcPr>
            <w:tcW w:w="13945" w:type="dxa"/>
            <w:gridSpan w:val="6"/>
            <w:shd w:val="clear" w:color="auto" w:fill="F2F2F2" w:themeFill="background1" w:themeFillShade="F2"/>
          </w:tcPr>
          <w:p w:rsidR="00B72672" w:rsidRDefault="00B72672" w:rsidP="00B72672">
            <w:pPr>
              <w:rPr>
                <w:b/>
              </w:rPr>
            </w:pPr>
            <w:r w:rsidRPr="00B72672">
              <w:rPr>
                <w:b/>
              </w:rPr>
              <w:lastRenderedPageBreak/>
              <w:t>Area of Focus: Every Florida Child Lives in a Safe and Supportive Community</w:t>
            </w:r>
          </w:p>
          <w:p w:rsidR="00B72672" w:rsidRPr="004E21C6" w:rsidRDefault="00B72672" w:rsidP="00B72672">
            <w:pPr>
              <w:rPr>
                <w:b/>
              </w:rPr>
            </w:pPr>
          </w:p>
        </w:tc>
        <w:tc>
          <w:tcPr>
            <w:tcW w:w="1350" w:type="dxa"/>
            <w:shd w:val="clear" w:color="auto" w:fill="F2F2F2" w:themeFill="background1" w:themeFillShade="F2"/>
          </w:tcPr>
          <w:p w:rsidR="00B72672" w:rsidRPr="004E21C6" w:rsidRDefault="00B72672" w:rsidP="00607AF0">
            <w:pPr>
              <w:rPr>
                <w:b/>
              </w:rPr>
            </w:pPr>
          </w:p>
        </w:tc>
      </w:tr>
      <w:tr w:rsidR="00B72672" w:rsidRPr="009154BA" w:rsidTr="00607AF0">
        <w:tc>
          <w:tcPr>
            <w:tcW w:w="1795" w:type="dxa"/>
            <w:gridSpan w:val="2"/>
            <w:shd w:val="clear" w:color="auto" w:fill="D9D9D9" w:themeFill="background1" w:themeFillShade="D9"/>
          </w:tcPr>
          <w:p w:rsidR="00B72672" w:rsidRPr="009154BA" w:rsidRDefault="00B72672" w:rsidP="00607AF0">
            <w:pPr>
              <w:jc w:val="center"/>
              <w:rPr>
                <w:b/>
              </w:rPr>
            </w:pPr>
            <w:r>
              <w:rPr>
                <w:b/>
              </w:rPr>
              <w:t>Headline Indicator</w:t>
            </w:r>
          </w:p>
        </w:tc>
        <w:tc>
          <w:tcPr>
            <w:tcW w:w="1440" w:type="dxa"/>
            <w:gridSpan w:val="2"/>
            <w:shd w:val="clear" w:color="auto" w:fill="D9D9D9" w:themeFill="background1" w:themeFillShade="D9"/>
          </w:tcPr>
          <w:p w:rsidR="00B72672" w:rsidRPr="009154BA" w:rsidRDefault="00B72672" w:rsidP="00607AF0">
            <w:pPr>
              <w:jc w:val="center"/>
              <w:rPr>
                <w:b/>
              </w:rPr>
            </w:pPr>
            <w:r>
              <w:rPr>
                <w:b/>
              </w:rPr>
              <w:t xml:space="preserve">Multiagency Groups </w:t>
            </w:r>
            <w:r w:rsidRPr="009154BA">
              <w:rPr>
                <w:b/>
              </w:rPr>
              <w:t>Related</w:t>
            </w:r>
          </w:p>
        </w:tc>
        <w:tc>
          <w:tcPr>
            <w:tcW w:w="5310" w:type="dxa"/>
            <w:shd w:val="clear" w:color="auto" w:fill="D9D9D9" w:themeFill="background1" w:themeFillShade="D9"/>
          </w:tcPr>
          <w:p w:rsidR="00B72672" w:rsidRPr="009154BA" w:rsidRDefault="00B72672" w:rsidP="00607AF0">
            <w:pPr>
              <w:jc w:val="center"/>
              <w:rPr>
                <w:b/>
              </w:rPr>
            </w:pPr>
            <w:r>
              <w:rPr>
                <w:b/>
              </w:rPr>
              <w:t>Data Trend From Cabinet Annual Report</w:t>
            </w:r>
          </w:p>
        </w:tc>
        <w:tc>
          <w:tcPr>
            <w:tcW w:w="5400" w:type="dxa"/>
            <w:shd w:val="clear" w:color="auto" w:fill="D9D9D9" w:themeFill="background1" w:themeFillShade="D9"/>
          </w:tcPr>
          <w:p w:rsidR="00B72672" w:rsidRPr="009154BA" w:rsidRDefault="00B72672" w:rsidP="00607AF0">
            <w:pPr>
              <w:jc w:val="center"/>
              <w:rPr>
                <w:b/>
              </w:rPr>
            </w:pPr>
            <w:r>
              <w:rPr>
                <w:b/>
              </w:rPr>
              <w:t>Data From Alternative Source</w:t>
            </w:r>
          </w:p>
        </w:tc>
        <w:tc>
          <w:tcPr>
            <w:tcW w:w="1350" w:type="dxa"/>
            <w:shd w:val="clear" w:color="auto" w:fill="D9D9D9" w:themeFill="background1" w:themeFillShade="D9"/>
          </w:tcPr>
          <w:p w:rsidR="00B72672" w:rsidRPr="009154BA" w:rsidRDefault="00B72672" w:rsidP="00607AF0">
            <w:pPr>
              <w:jc w:val="center"/>
              <w:rPr>
                <w:b/>
              </w:rPr>
            </w:pPr>
            <w:r>
              <w:rPr>
                <w:b/>
              </w:rPr>
              <w:t>Turning the Curve?</w:t>
            </w:r>
          </w:p>
        </w:tc>
      </w:tr>
      <w:tr w:rsidR="002B4D2C" w:rsidTr="00B72672">
        <w:tc>
          <w:tcPr>
            <w:tcW w:w="1778" w:type="dxa"/>
          </w:tcPr>
          <w:p w:rsidR="0010111C" w:rsidRDefault="00B72672" w:rsidP="0094207A">
            <w:pPr>
              <w:rPr>
                <w:b/>
              </w:rPr>
            </w:pPr>
            <w:r w:rsidRPr="00B72672">
              <w:rPr>
                <w:b/>
              </w:rPr>
              <w:t xml:space="preserve">4.2: </w:t>
            </w:r>
          </w:p>
          <w:p w:rsidR="0094207A" w:rsidRPr="00B72672" w:rsidRDefault="00B72672" w:rsidP="0094207A">
            <w:pPr>
              <w:rPr>
                <w:b/>
              </w:rPr>
            </w:pPr>
            <w:r w:rsidRPr="00B72672">
              <w:rPr>
                <w:b/>
              </w:rPr>
              <w:t>Homeless c</w:t>
            </w:r>
            <w:r w:rsidR="0094207A" w:rsidRPr="00B72672">
              <w:rPr>
                <w:b/>
              </w:rPr>
              <w:t>hildren</w:t>
            </w:r>
          </w:p>
        </w:tc>
        <w:tc>
          <w:tcPr>
            <w:tcW w:w="1428" w:type="dxa"/>
            <w:gridSpan w:val="2"/>
          </w:tcPr>
          <w:p w:rsidR="0094207A" w:rsidRPr="008A7D98" w:rsidRDefault="003354E3" w:rsidP="0094207A">
            <w:pPr>
              <w:rPr>
                <w:sz w:val="20"/>
                <w:szCs w:val="20"/>
              </w:rPr>
            </w:pPr>
            <w:r w:rsidRPr="008A7D98">
              <w:rPr>
                <w:sz w:val="20"/>
                <w:szCs w:val="20"/>
              </w:rPr>
              <w:t>Council on Homelessness</w:t>
            </w:r>
          </w:p>
        </w:tc>
        <w:tc>
          <w:tcPr>
            <w:tcW w:w="5339" w:type="dxa"/>
            <w:gridSpan w:val="2"/>
          </w:tcPr>
          <w:p w:rsidR="0094207A" w:rsidRDefault="002D6DB1" w:rsidP="00B72672">
            <w:pPr>
              <w:jc w:val="both"/>
            </w:pPr>
            <w:r>
              <w:rPr>
                <w:b/>
                <w:noProof/>
                <w:shd w:val="clear" w:color="auto" w:fill="F2F2F2" w:themeFill="background1" w:themeFillShade="F2"/>
              </w:rPr>
              <w:drawing>
                <wp:inline distT="0" distB="0" distL="0" distR="0" wp14:anchorId="19AD8B48" wp14:editId="31C4FD02">
                  <wp:extent cx="3248025" cy="24193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72672" w:rsidRDefault="00B72672" w:rsidP="002D6DB1">
            <w:pPr>
              <w:jc w:val="both"/>
              <w:rPr>
                <w:rFonts w:ascii="Times New Roman" w:hAnsi="Times New Roman"/>
                <w:i/>
                <w:sz w:val="20"/>
              </w:rPr>
            </w:pPr>
          </w:p>
          <w:p w:rsidR="002D6DB1" w:rsidRPr="00B72672" w:rsidRDefault="002D6DB1" w:rsidP="00B72672">
            <w:pPr>
              <w:rPr>
                <w:sz w:val="20"/>
              </w:rPr>
            </w:pPr>
            <w:r w:rsidRPr="00B72672">
              <w:rPr>
                <w:sz w:val="20"/>
              </w:rPr>
              <w:t>Indicator definition: Number (in thousands) of homeless students reported in Florida public schools in each school year.</w:t>
            </w:r>
          </w:p>
          <w:p w:rsidR="002D6DB1" w:rsidRDefault="002D6DB1" w:rsidP="0094207A"/>
        </w:tc>
        <w:tc>
          <w:tcPr>
            <w:tcW w:w="5400" w:type="dxa"/>
          </w:tcPr>
          <w:p w:rsidR="0094207A" w:rsidRDefault="0094207A" w:rsidP="0094207A"/>
          <w:p w:rsidR="00137E63" w:rsidRPr="00BB6F1D" w:rsidRDefault="00BB6F1D" w:rsidP="0094207A">
            <w:pPr>
              <w:rPr>
                <w:sz w:val="20"/>
                <w:szCs w:val="20"/>
              </w:rPr>
            </w:pPr>
            <w:r>
              <w:rPr>
                <w:sz w:val="20"/>
                <w:szCs w:val="20"/>
              </w:rPr>
              <w:t>Of the population of people who are homeless, p</w:t>
            </w:r>
            <w:r w:rsidR="00137E63" w:rsidRPr="00BB6F1D">
              <w:rPr>
                <w:sz w:val="20"/>
                <w:szCs w:val="20"/>
              </w:rPr>
              <w:t>ercentage</w:t>
            </w:r>
            <w:r>
              <w:rPr>
                <w:sz w:val="20"/>
                <w:szCs w:val="20"/>
              </w:rPr>
              <w:t xml:space="preserve"> who are </w:t>
            </w:r>
            <w:r w:rsidR="00137E63" w:rsidRPr="00BB6F1D">
              <w:rPr>
                <w:sz w:val="20"/>
                <w:szCs w:val="20"/>
              </w:rPr>
              <w:t xml:space="preserve">children under 18 </w:t>
            </w:r>
          </w:p>
          <w:p w:rsidR="00EB7C99" w:rsidRPr="00BB6F1D" w:rsidRDefault="00EB7C99" w:rsidP="0094207A">
            <w:pPr>
              <w:rPr>
                <w:sz w:val="20"/>
                <w:szCs w:val="20"/>
              </w:rPr>
            </w:pPr>
            <w:r w:rsidRPr="00BB6F1D">
              <w:rPr>
                <w:sz w:val="20"/>
                <w:szCs w:val="20"/>
              </w:rPr>
              <w:t>2009 16.3%</w:t>
            </w:r>
          </w:p>
          <w:p w:rsidR="00EB7C99" w:rsidRPr="00BB6F1D" w:rsidRDefault="00EB7C99" w:rsidP="0094207A">
            <w:pPr>
              <w:rPr>
                <w:sz w:val="20"/>
                <w:szCs w:val="20"/>
              </w:rPr>
            </w:pPr>
            <w:r w:rsidRPr="00BB6F1D">
              <w:rPr>
                <w:sz w:val="20"/>
                <w:szCs w:val="20"/>
              </w:rPr>
              <w:t>2010 16%</w:t>
            </w:r>
          </w:p>
          <w:p w:rsidR="00EB7C99" w:rsidRPr="00BB6F1D" w:rsidRDefault="00EB7C99" w:rsidP="0094207A">
            <w:pPr>
              <w:rPr>
                <w:sz w:val="20"/>
                <w:szCs w:val="20"/>
              </w:rPr>
            </w:pPr>
            <w:r w:rsidRPr="00BB6F1D">
              <w:rPr>
                <w:sz w:val="20"/>
                <w:szCs w:val="20"/>
              </w:rPr>
              <w:t>2011 18.3%</w:t>
            </w:r>
          </w:p>
          <w:p w:rsidR="00137E63" w:rsidRPr="00BB6F1D" w:rsidRDefault="00137E63" w:rsidP="0094207A">
            <w:pPr>
              <w:rPr>
                <w:sz w:val="20"/>
                <w:szCs w:val="20"/>
              </w:rPr>
            </w:pPr>
            <w:r w:rsidRPr="00BB6F1D">
              <w:rPr>
                <w:sz w:val="20"/>
                <w:szCs w:val="20"/>
              </w:rPr>
              <w:t>2013 17.8%</w:t>
            </w:r>
          </w:p>
          <w:p w:rsidR="00137E63" w:rsidRPr="00BB6F1D" w:rsidRDefault="00137E63" w:rsidP="0094207A">
            <w:pPr>
              <w:rPr>
                <w:sz w:val="20"/>
                <w:szCs w:val="20"/>
              </w:rPr>
            </w:pPr>
            <w:r w:rsidRPr="00BB6F1D">
              <w:rPr>
                <w:sz w:val="20"/>
                <w:szCs w:val="20"/>
              </w:rPr>
              <w:t>2014 18.6%</w:t>
            </w:r>
          </w:p>
          <w:p w:rsidR="00EB7C99" w:rsidRPr="00BB6F1D" w:rsidRDefault="00EB7C99" w:rsidP="0094207A">
            <w:pPr>
              <w:rPr>
                <w:sz w:val="20"/>
                <w:szCs w:val="20"/>
              </w:rPr>
            </w:pPr>
            <w:r w:rsidRPr="00BB6F1D">
              <w:rPr>
                <w:sz w:val="20"/>
                <w:szCs w:val="20"/>
              </w:rPr>
              <w:t>2015 18.9%</w:t>
            </w:r>
          </w:p>
          <w:p w:rsidR="00FD4C3D" w:rsidRPr="00BB6F1D" w:rsidRDefault="00FD4C3D" w:rsidP="0094207A">
            <w:pPr>
              <w:rPr>
                <w:sz w:val="20"/>
                <w:szCs w:val="20"/>
              </w:rPr>
            </w:pPr>
          </w:p>
          <w:p w:rsidR="00FD4C3D" w:rsidRDefault="00FD4C3D" w:rsidP="0094207A">
            <w:r w:rsidRPr="00BB6F1D">
              <w:rPr>
                <w:sz w:val="20"/>
                <w:szCs w:val="20"/>
              </w:rPr>
              <w:t xml:space="preserve">Data captured by 28 local continuum of care planning agencies as reported in the </w:t>
            </w:r>
            <w:r w:rsidR="0091708E" w:rsidRPr="00BB6F1D">
              <w:rPr>
                <w:sz w:val="20"/>
                <w:szCs w:val="20"/>
              </w:rPr>
              <w:t xml:space="preserve">annual </w:t>
            </w:r>
            <w:r w:rsidRPr="00BB6F1D">
              <w:rPr>
                <w:sz w:val="20"/>
                <w:szCs w:val="20"/>
              </w:rPr>
              <w:t xml:space="preserve">Council of Homelessness </w:t>
            </w:r>
            <w:r w:rsidR="0091708E" w:rsidRPr="00BB6F1D">
              <w:rPr>
                <w:sz w:val="20"/>
                <w:szCs w:val="20"/>
              </w:rPr>
              <w:t>r</w:t>
            </w:r>
            <w:r w:rsidRPr="00BB6F1D">
              <w:rPr>
                <w:sz w:val="20"/>
                <w:szCs w:val="20"/>
              </w:rPr>
              <w:t>eport</w:t>
            </w:r>
            <w:r w:rsidR="00EB7C99" w:rsidRPr="00BB6F1D">
              <w:rPr>
                <w:sz w:val="20"/>
                <w:szCs w:val="20"/>
              </w:rPr>
              <w:t>s.</w:t>
            </w:r>
          </w:p>
        </w:tc>
        <w:tc>
          <w:tcPr>
            <w:tcW w:w="1350" w:type="dxa"/>
          </w:tcPr>
          <w:p w:rsidR="0094207A" w:rsidRPr="00ED033B" w:rsidRDefault="001B64D2" w:rsidP="0094207A">
            <w:pPr>
              <w:rPr>
                <w:b/>
              </w:rPr>
            </w:pPr>
            <w:r w:rsidRPr="00ED033B">
              <w:rPr>
                <w:b/>
                <w:color w:val="0070C0"/>
              </w:rPr>
              <w:t>NO</w:t>
            </w:r>
            <w:r w:rsidR="00137E63" w:rsidRPr="00ED033B">
              <w:rPr>
                <w:b/>
                <w:color w:val="0070C0"/>
              </w:rPr>
              <w:t>, worsening</w:t>
            </w:r>
          </w:p>
        </w:tc>
      </w:tr>
    </w:tbl>
    <w:p w:rsidR="00B72672" w:rsidRDefault="00B72672">
      <w:r>
        <w:br w:type="page"/>
      </w:r>
    </w:p>
    <w:tbl>
      <w:tblPr>
        <w:tblStyle w:val="TableGrid"/>
        <w:tblW w:w="15295" w:type="dxa"/>
        <w:tblLayout w:type="fixed"/>
        <w:tblLook w:val="04A0" w:firstRow="1" w:lastRow="0" w:firstColumn="1" w:lastColumn="0" w:noHBand="0" w:noVBand="1"/>
      </w:tblPr>
      <w:tblGrid>
        <w:gridCol w:w="1778"/>
        <w:gridCol w:w="17"/>
        <w:gridCol w:w="1411"/>
        <w:gridCol w:w="29"/>
        <w:gridCol w:w="5310"/>
        <w:gridCol w:w="5400"/>
        <w:gridCol w:w="1350"/>
      </w:tblGrid>
      <w:tr w:rsidR="00B72672" w:rsidRPr="004E21C6" w:rsidTr="00607AF0">
        <w:tc>
          <w:tcPr>
            <w:tcW w:w="13945" w:type="dxa"/>
            <w:gridSpan w:val="6"/>
            <w:shd w:val="clear" w:color="auto" w:fill="F2F2F2" w:themeFill="background1" w:themeFillShade="F2"/>
          </w:tcPr>
          <w:p w:rsidR="00B72672" w:rsidRDefault="00B72672" w:rsidP="00607AF0">
            <w:pPr>
              <w:rPr>
                <w:b/>
              </w:rPr>
            </w:pPr>
            <w:r w:rsidRPr="00B72672">
              <w:rPr>
                <w:b/>
              </w:rPr>
              <w:lastRenderedPageBreak/>
              <w:t>Area of Focus: Every Florida Child Lives in a Safe and Supportive Community</w:t>
            </w:r>
          </w:p>
          <w:p w:rsidR="00B72672" w:rsidRPr="004E21C6" w:rsidRDefault="00B72672" w:rsidP="00607AF0">
            <w:pPr>
              <w:rPr>
                <w:b/>
              </w:rPr>
            </w:pPr>
          </w:p>
        </w:tc>
        <w:tc>
          <w:tcPr>
            <w:tcW w:w="1350" w:type="dxa"/>
            <w:shd w:val="clear" w:color="auto" w:fill="F2F2F2" w:themeFill="background1" w:themeFillShade="F2"/>
          </w:tcPr>
          <w:p w:rsidR="00B72672" w:rsidRPr="004E21C6" w:rsidRDefault="00B72672" w:rsidP="00607AF0">
            <w:pPr>
              <w:rPr>
                <w:b/>
              </w:rPr>
            </w:pPr>
          </w:p>
        </w:tc>
      </w:tr>
      <w:tr w:rsidR="00B72672" w:rsidRPr="009154BA" w:rsidTr="00607AF0">
        <w:tc>
          <w:tcPr>
            <w:tcW w:w="1795" w:type="dxa"/>
            <w:gridSpan w:val="2"/>
            <w:shd w:val="clear" w:color="auto" w:fill="D9D9D9" w:themeFill="background1" w:themeFillShade="D9"/>
          </w:tcPr>
          <w:p w:rsidR="00B72672" w:rsidRPr="009154BA" w:rsidRDefault="00B72672" w:rsidP="00607AF0">
            <w:pPr>
              <w:jc w:val="center"/>
              <w:rPr>
                <w:b/>
              </w:rPr>
            </w:pPr>
            <w:r>
              <w:rPr>
                <w:b/>
              </w:rPr>
              <w:t>Headline Indicator</w:t>
            </w:r>
          </w:p>
        </w:tc>
        <w:tc>
          <w:tcPr>
            <w:tcW w:w="1440" w:type="dxa"/>
            <w:gridSpan w:val="2"/>
            <w:shd w:val="clear" w:color="auto" w:fill="D9D9D9" w:themeFill="background1" w:themeFillShade="D9"/>
          </w:tcPr>
          <w:p w:rsidR="00B72672" w:rsidRPr="009154BA" w:rsidRDefault="00B72672" w:rsidP="00607AF0">
            <w:pPr>
              <w:jc w:val="center"/>
              <w:rPr>
                <w:b/>
              </w:rPr>
            </w:pPr>
            <w:r>
              <w:rPr>
                <w:b/>
              </w:rPr>
              <w:t xml:space="preserve">Multiagency Groups </w:t>
            </w:r>
            <w:r w:rsidRPr="009154BA">
              <w:rPr>
                <w:b/>
              </w:rPr>
              <w:t>Related</w:t>
            </w:r>
          </w:p>
        </w:tc>
        <w:tc>
          <w:tcPr>
            <w:tcW w:w="5310" w:type="dxa"/>
            <w:shd w:val="clear" w:color="auto" w:fill="D9D9D9" w:themeFill="background1" w:themeFillShade="D9"/>
          </w:tcPr>
          <w:p w:rsidR="00B72672" w:rsidRPr="009154BA" w:rsidRDefault="00B72672" w:rsidP="00607AF0">
            <w:pPr>
              <w:jc w:val="center"/>
              <w:rPr>
                <w:b/>
              </w:rPr>
            </w:pPr>
            <w:r>
              <w:rPr>
                <w:b/>
              </w:rPr>
              <w:t>Data Trend From Cabinet Annual Report</w:t>
            </w:r>
          </w:p>
        </w:tc>
        <w:tc>
          <w:tcPr>
            <w:tcW w:w="5400" w:type="dxa"/>
            <w:shd w:val="clear" w:color="auto" w:fill="D9D9D9" w:themeFill="background1" w:themeFillShade="D9"/>
          </w:tcPr>
          <w:p w:rsidR="00B72672" w:rsidRPr="009154BA" w:rsidRDefault="00B72672" w:rsidP="00607AF0">
            <w:pPr>
              <w:jc w:val="center"/>
              <w:rPr>
                <w:b/>
              </w:rPr>
            </w:pPr>
            <w:r>
              <w:rPr>
                <w:b/>
              </w:rPr>
              <w:t>Data From Alternative Source</w:t>
            </w:r>
          </w:p>
        </w:tc>
        <w:tc>
          <w:tcPr>
            <w:tcW w:w="1350" w:type="dxa"/>
            <w:shd w:val="clear" w:color="auto" w:fill="D9D9D9" w:themeFill="background1" w:themeFillShade="D9"/>
          </w:tcPr>
          <w:p w:rsidR="00B72672" w:rsidRPr="009154BA" w:rsidRDefault="00B72672" w:rsidP="00607AF0">
            <w:pPr>
              <w:jc w:val="center"/>
              <w:rPr>
                <w:b/>
              </w:rPr>
            </w:pPr>
            <w:r>
              <w:rPr>
                <w:b/>
              </w:rPr>
              <w:t>Turning the Curve?</w:t>
            </w:r>
          </w:p>
        </w:tc>
      </w:tr>
      <w:tr w:rsidR="002B4D2C" w:rsidTr="00B72672">
        <w:trPr>
          <w:trHeight w:val="4382"/>
        </w:trPr>
        <w:tc>
          <w:tcPr>
            <w:tcW w:w="1778" w:type="dxa"/>
          </w:tcPr>
          <w:p w:rsidR="0010111C" w:rsidRDefault="00B72672" w:rsidP="0094207A">
            <w:pPr>
              <w:rPr>
                <w:b/>
              </w:rPr>
            </w:pPr>
            <w:r w:rsidRPr="00B72672">
              <w:rPr>
                <w:b/>
              </w:rPr>
              <w:t xml:space="preserve">4.3: </w:t>
            </w:r>
          </w:p>
          <w:p w:rsidR="0094207A" w:rsidRPr="00B72672" w:rsidRDefault="00B72672" w:rsidP="0094207A">
            <w:pPr>
              <w:rPr>
                <w:b/>
              </w:rPr>
            </w:pPr>
            <w:r w:rsidRPr="00B72672">
              <w:rPr>
                <w:b/>
              </w:rPr>
              <w:t>Children in supportive n</w:t>
            </w:r>
            <w:r w:rsidR="0094207A" w:rsidRPr="00B72672">
              <w:rPr>
                <w:b/>
              </w:rPr>
              <w:t>eighborhoods</w:t>
            </w:r>
          </w:p>
        </w:tc>
        <w:tc>
          <w:tcPr>
            <w:tcW w:w="1428" w:type="dxa"/>
            <w:gridSpan w:val="2"/>
          </w:tcPr>
          <w:p w:rsidR="0094207A" w:rsidRDefault="00654DB5" w:rsidP="0094207A">
            <w:r w:rsidRPr="00654DB5">
              <w:t>None</w:t>
            </w:r>
            <w:r w:rsidR="008A7D98">
              <w:t xml:space="preserve"> known</w:t>
            </w:r>
          </w:p>
          <w:p w:rsidR="00654DB5" w:rsidRDefault="00654DB5" w:rsidP="0094207A"/>
        </w:tc>
        <w:tc>
          <w:tcPr>
            <w:tcW w:w="5339" w:type="dxa"/>
            <w:gridSpan w:val="2"/>
          </w:tcPr>
          <w:p w:rsidR="00B72672" w:rsidRDefault="002D6DB1" w:rsidP="00B72672">
            <w:pPr>
              <w:rPr>
                <w:rFonts w:ascii="Times New Roman" w:hAnsi="Times New Roman"/>
                <w:i/>
              </w:rPr>
            </w:pPr>
            <w:r>
              <w:rPr>
                <w:b/>
                <w:noProof/>
              </w:rPr>
              <w:drawing>
                <wp:inline distT="0" distB="0" distL="0" distR="0" wp14:anchorId="6504E279" wp14:editId="07712768">
                  <wp:extent cx="3324225" cy="19526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284852">
              <w:rPr>
                <w:rFonts w:ascii="Times New Roman" w:hAnsi="Times New Roman"/>
                <w:i/>
              </w:rPr>
              <w:t xml:space="preserve"> </w:t>
            </w:r>
          </w:p>
          <w:p w:rsidR="00B72672" w:rsidRDefault="00B72672" w:rsidP="00B72672">
            <w:pPr>
              <w:rPr>
                <w:rFonts w:ascii="Times New Roman" w:hAnsi="Times New Roman"/>
                <w:i/>
              </w:rPr>
            </w:pPr>
          </w:p>
          <w:p w:rsidR="0094207A" w:rsidRDefault="002D6DB1" w:rsidP="00B72672">
            <w:pPr>
              <w:rPr>
                <w:sz w:val="20"/>
                <w:shd w:val="clear" w:color="auto" w:fill="FFFFFF"/>
              </w:rPr>
            </w:pPr>
            <w:r w:rsidRPr="00B72672">
              <w:rPr>
                <w:sz w:val="20"/>
              </w:rPr>
              <w:t xml:space="preserve">Indicator definition: Percentage of children age 0 – 17 who are living in supportive neighborhoods derived from responses (strongly agree, somewhat agree, somewhat disagree, or strongly disagree) to four statements: 1) People in my neighborhood help each other out; 2) We watch out for each other’s children in this neighborhood; 3) There are people I can count on in this neighborhood; and 4) If my child were outside playing and got hurt or scared, there are adults nearby who I trust to help my child.  Valid responses on at least three items are included. </w:t>
            </w:r>
            <w:r w:rsidRPr="00B72672">
              <w:rPr>
                <w:sz w:val="20"/>
                <w:shd w:val="clear" w:color="auto" w:fill="FFFFFF"/>
              </w:rPr>
              <w:t>To score this indicator, item responses were assigned values (1-4) and an average was calculated for eligible cases. The threshold for living in a supportive neighborhood is a mean score of 2.25 or higher, indicating that no more than one item responses was one of the "disagree" options.</w:t>
            </w:r>
          </w:p>
          <w:p w:rsidR="00B46FE2" w:rsidRDefault="00B46FE2" w:rsidP="00B72672"/>
        </w:tc>
        <w:tc>
          <w:tcPr>
            <w:tcW w:w="5400" w:type="dxa"/>
          </w:tcPr>
          <w:p w:rsidR="00E04D2F" w:rsidRDefault="00E04D2F" w:rsidP="0094207A">
            <w:pPr>
              <w:rPr>
                <w:sz w:val="20"/>
              </w:rPr>
            </w:pPr>
            <w:r>
              <w:rPr>
                <w:sz w:val="20"/>
              </w:rPr>
              <w:t>Children Living in Areas of Concentrated Poverty</w:t>
            </w:r>
            <w:r w:rsidR="0094207A" w:rsidRPr="00D16BBE">
              <w:rPr>
                <w:sz w:val="20"/>
              </w:rPr>
              <w:t xml:space="preserve">  </w:t>
            </w:r>
          </w:p>
          <w:p w:rsidR="00E04D2F" w:rsidRDefault="00E04D2F" w:rsidP="0094207A">
            <w:pPr>
              <w:rPr>
                <w:sz w:val="20"/>
              </w:rPr>
            </w:pPr>
          </w:p>
          <w:p w:rsidR="0094207A" w:rsidRPr="00D16BBE" w:rsidRDefault="0094207A" w:rsidP="0094207A">
            <w:pPr>
              <w:rPr>
                <w:sz w:val="20"/>
              </w:rPr>
            </w:pPr>
            <w:r w:rsidRPr="00D16BBE">
              <w:rPr>
                <w:sz w:val="20"/>
              </w:rPr>
              <w:t xml:space="preserve">2000   </w:t>
            </w:r>
            <w:r w:rsidR="00BB6F1D">
              <w:rPr>
                <w:sz w:val="20"/>
              </w:rPr>
              <w:t xml:space="preserve">  </w:t>
            </w:r>
            <w:r w:rsidRPr="00D16BBE">
              <w:rPr>
                <w:sz w:val="20"/>
              </w:rPr>
              <w:t xml:space="preserve">06-10  </w:t>
            </w:r>
            <w:r w:rsidR="00BB6F1D">
              <w:rPr>
                <w:sz w:val="20"/>
              </w:rPr>
              <w:t xml:space="preserve">  </w:t>
            </w:r>
            <w:r w:rsidRPr="00D16BBE">
              <w:rPr>
                <w:sz w:val="20"/>
              </w:rPr>
              <w:t xml:space="preserve">07-11  </w:t>
            </w:r>
            <w:r w:rsidR="00BB6F1D">
              <w:rPr>
                <w:sz w:val="20"/>
              </w:rPr>
              <w:t xml:space="preserve">  </w:t>
            </w:r>
            <w:r w:rsidRPr="00D16BBE">
              <w:rPr>
                <w:sz w:val="20"/>
              </w:rPr>
              <w:t xml:space="preserve">08- 12 </w:t>
            </w:r>
            <w:r w:rsidR="00BB6F1D">
              <w:rPr>
                <w:sz w:val="20"/>
              </w:rPr>
              <w:t xml:space="preserve">  </w:t>
            </w:r>
            <w:r w:rsidRPr="00D16BBE">
              <w:rPr>
                <w:sz w:val="20"/>
              </w:rPr>
              <w:t xml:space="preserve"> 09-13</w:t>
            </w:r>
          </w:p>
          <w:p w:rsidR="0094207A" w:rsidRDefault="0094207A" w:rsidP="0094207A">
            <w:pPr>
              <w:rPr>
                <w:sz w:val="20"/>
              </w:rPr>
            </w:pPr>
            <w:r w:rsidRPr="00D16BBE">
              <w:rPr>
                <w:sz w:val="20"/>
              </w:rPr>
              <w:t xml:space="preserve">7%       </w:t>
            </w:r>
            <w:r w:rsidR="00BB6F1D">
              <w:rPr>
                <w:sz w:val="20"/>
              </w:rPr>
              <w:t xml:space="preserve">  </w:t>
            </w:r>
            <w:r w:rsidRPr="00D16BBE">
              <w:rPr>
                <w:sz w:val="20"/>
              </w:rPr>
              <w:t xml:space="preserve">9%        </w:t>
            </w:r>
            <w:r w:rsidR="00BB6F1D">
              <w:rPr>
                <w:sz w:val="20"/>
              </w:rPr>
              <w:t xml:space="preserve"> </w:t>
            </w:r>
            <w:r w:rsidRPr="00D16BBE">
              <w:rPr>
                <w:sz w:val="20"/>
              </w:rPr>
              <w:t xml:space="preserve">11%    </w:t>
            </w:r>
            <w:r w:rsidR="00BB6F1D">
              <w:rPr>
                <w:sz w:val="20"/>
              </w:rPr>
              <w:t xml:space="preserve">  </w:t>
            </w:r>
            <w:r w:rsidRPr="00D16BBE">
              <w:rPr>
                <w:sz w:val="20"/>
              </w:rPr>
              <w:t xml:space="preserve">12%     </w:t>
            </w:r>
            <w:r w:rsidR="00BB6F1D">
              <w:rPr>
                <w:sz w:val="20"/>
              </w:rPr>
              <w:t xml:space="preserve">   </w:t>
            </w:r>
            <w:r w:rsidRPr="00D16BBE">
              <w:rPr>
                <w:sz w:val="20"/>
              </w:rPr>
              <w:t>14%</w:t>
            </w:r>
          </w:p>
          <w:p w:rsidR="00E53692" w:rsidRDefault="00E53692" w:rsidP="0094207A">
            <w:pPr>
              <w:rPr>
                <w:sz w:val="20"/>
              </w:rPr>
            </w:pPr>
          </w:p>
          <w:p w:rsidR="00E53692" w:rsidRPr="00B72672" w:rsidRDefault="00E53692" w:rsidP="0004284F">
            <w:pPr>
              <w:shd w:val="clear" w:color="auto" w:fill="FFFFFF" w:themeFill="background1"/>
              <w:spacing w:after="150" w:line="225" w:lineRule="atLeast"/>
              <w:rPr>
                <w:rFonts w:eastAsia="Times New Roman" w:cs="Times New Roman"/>
                <w:color w:val="333333"/>
                <w:sz w:val="20"/>
                <w:szCs w:val="20"/>
              </w:rPr>
            </w:pPr>
            <w:r w:rsidRPr="001D3F39">
              <w:rPr>
                <w:rFonts w:eastAsia="Times New Roman" w:cs="Times New Roman"/>
                <w:bCs/>
                <w:color w:val="333333"/>
                <w:sz w:val="20"/>
                <w:szCs w:val="20"/>
              </w:rPr>
              <w:t>Definitions:</w:t>
            </w:r>
            <w:r w:rsidRPr="00B72672">
              <w:rPr>
                <w:rFonts w:eastAsia="Times New Roman" w:cs="Times New Roman"/>
                <w:color w:val="333333"/>
                <w:sz w:val="20"/>
                <w:szCs w:val="20"/>
              </w:rPr>
              <w:t xml:space="preserve"> Children living in census tracts with poverty rates of 30 percent or more.</w:t>
            </w:r>
            <w:r w:rsidRPr="00B72672">
              <w:rPr>
                <w:rFonts w:eastAsia="Times New Roman" w:cs="Arial"/>
                <w:b/>
                <w:bCs/>
                <w:color w:val="333333"/>
                <w:sz w:val="20"/>
                <w:szCs w:val="20"/>
              </w:rPr>
              <w:br/>
            </w:r>
            <w:r w:rsidRPr="00B72672">
              <w:rPr>
                <w:rFonts w:eastAsia="Times New Roman" w:cs="Times New Roman"/>
                <w:color w:val="333333"/>
                <w:sz w:val="20"/>
                <w:szCs w:val="20"/>
              </w:rPr>
              <w:br/>
              <w:t xml:space="preserve">Research indicates that as neighborhood poverty rates increase, undesirable outcomes rise and opportunities for success are less likely. The effects of concentrated poverty begin to appear once neighborhood poverty rates rise above 20 percent and continue to grow as the concentration of poverty increases up to the 40 percent threshold. This indicator defines areas of concentrated poverty as those census tracts with overall poverty rates of 30 percent or more because it is a commonly used threshold that lies between the starting point and leveling off point for negative neighborhood effects. The 2013 federal poverty threshold is $23,624 per year for a family of two adults and two children. </w:t>
            </w:r>
          </w:p>
          <w:p w:rsidR="00E53692" w:rsidRPr="00B72672" w:rsidRDefault="00E53692" w:rsidP="00D84B74">
            <w:pPr>
              <w:shd w:val="clear" w:color="auto" w:fill="FFFFFF" w:themeFill="background1"/>
              <w:spacing w:after="150" w:line="225" w:lineRule="atLeast"/>
              <w:rPr>
                <w:rFonts w:eastAsia="Times New Roman" w:cs="Times New Roman"/>
                <w:color w:val="333333"/>
                <w:sz w:val="20"/>
                <w:szCs w:val="20"/>
              </w:rPr>
            </w:pPr>
            <w:r w:rsidRPr="001D3F39">
              <w:rPr>
                <w:rFonts w:eastAsia="Times New Roman" w:cs="Times New Roman"/>
                <w:bCs/>
                <w:color w:val="333333"/>
                <w:sz w:val="20"/>
                <w:szCs w:val="20"/>
              </w:rPr>
              <w:t>Data Source:</w:t>
            </w:r>
            <w:r w:rsidR="00D84B74">
              <w:rPr>
                <w:rFonts w:eastAsia="Times New Roman" w:cs="Times New Roman"/>
                <w:color w:val="333333"/>
                <w:sz w:val="20"/>
                <w:szCs w:val="20"/>
              </w:rPr>
              <w:t xml:space="preserve"> </w:t>
            </w:r>
            <w:r w:rsidRPr="00B72672">
              <w:rPr>
                <w:rFonts w:eastAsia="Times New Roman" w:cs="Times New Roman"/>
                <w:color w:val="333333"/>
                <w:sz w:val="20"/>
                <w:szCs w:val="20"/>
              </w:rPr>
              <w:t>Population Reference Bureau analysis of data from the U.S. Census Bureau, 2000 Decennial Census Summary File 1 and Summary File 3 and the 2009–2013 American Community Survey 5-year data.</w:t>
            </w:r>
          </w:p>
          <w:p w:rsidR="00E53692" w:rsidRPr="00D16BBE" w:rsidRDefault="00E53692" w:rsidP="0094207A">
            <w:pPr>
              <w:rPr>
                <w:sz w:val="20"/>
              </w:rPr>
            </w:pPr>
          </w:p>
        </w:tc>
        <w:tc>
          <w:tcPr>
            <w:tcW w:w="1350" w:type="dxa"/>
          </w:tcPr>
          <w:p w:rsidR="0094207A" w:rsidRPr="00ED033B" w:rsidRDefault="00E53692" w:rsidP="0094207A">
            <w:pPr>
              <w:rPr>
                <w:b/>
              </w:rPr>
            </w:pPr>
            <w:r w:rsidRPr="00ED033B">
              <w:rPr>
                <w:b/>
                <w:color w:val="0070C0"/>
              </w:rPr>
              <w:t xml:space="preserve">NO, </w:t>
            </w:r>
            <w:r w:rsidR="0094207A" w:rsidRPr="00ED033B">
              <w:rPr>
                <w:b/>
                <w:color w:val="0070C0"/>
              </w:rPr>
              <w:t>worsening</w:t>
            </w:r>
          </w:p>
        </w:tc>
      </w:tr>
    </w:tbl>
    <w:p w:rsidR="004E21C6" w:rsidRDefault="004E21C6" w:rsidP="003354E3"/>
    <w:p w:rsidR="00C223B3" w:rsidRDefault="00C223B3" w:rsidP="003354E3"/>
    <w:sectPr w:rsidR="00C223B3" w:rsidSect="00390A9D">
      <w:footerReference w:type="default" r:id="rId23"/>
      <w:pgSz w:w="15840" w:h="12240" w:orient="landscape" w:code="1"/>
      <w:pgMar w:top="1296" w:right="288" w:bottom="1296" w:left="28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307" w:rsidRDefault="00F65307" w:rsidP="00607F96">
      <w:pPr>
        <w:spacing w:after="0" w:line="240" w:lineRule="auto"/>
      </w:pPr>
      <w:r>
        <w:separator/>
      </w:r>
    </w:p>
  </w:endnote>
  <w:endnote w:type="continuationSeparator" w:id="0">
    <w:p w:rsidR="00F65307" w:rsidRDefault="00F65307" w:rsidP="0060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621398"/>
      <w:docPartObj>
        <w:docPartGallery w:val="Page Numbers (Bottom of Page)"/>
        <w:docPartUnique/>
      </w:docPartObj>
    </w:sdtPr>
    <w:sdtEndPr/>
    <w:sdtContent>
      <w:p w:rsidR="00607F96" w:rsidRDefault="00607F96">
        <w:pPr>
          <w:pStyle w:val="Footer"/>
          <w:jc w:val="right"/>
        </w:pPr>
        <w:r>
          <w:t xml:space="preserve">Page | </w:t>
        </w:r>
        <w:r>
          <w:fldChar w:fldCharType="begin"/>
        </w:r>
        <w:r>
          <w:instrText xml:space="preserve"> PAGE   \* MERGEFORMAT </w:instrText>
        </w:r>
        <w:r>
          <w:fldChar w:fldCharType="separate"/>
        </w:r>
        <w:r w:rsidR="00034BF2">
          <w:rPr>
            <w:noProof/>
          </w:rPr>
          <w:t>1</w:t>
        </w:r>
        <w:r>
          <w:rPr>
            <w:noProof/>
          </w:rPr>
          <w:fldChar w:fldCharType="end"/>
        </w:r>
        <w:r>
          <w:t xml:space="preserve"> </w:t>
        </w:r>
      </w:p>
    </w:sdtContent>
  </w:sdt>
  <w:p w:rsidR="00607F96" w:rsidRDefault="0060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307" w:rsidRDefault="00F65307" w:rsidP="00607F96">
      <w:pPr>
        <w:spacing w:after="0" w:line="240" w:lineRule="auto"/>
      </w:pPr>
      <w:r>
        <w:separator/>
      </w:r>
    </w:p>
  </w:footnote>
  <w:footnote w:type="continuationSeparator" w:id="0">
    <w:p w:rsidR="00F65307" w:rsidRDefault="00F65307" w:rsidP="00607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6B88"/>
    <w:multiLevelType w:val="hybridMultilevel"/>
    <w:tmpl w:val="128E1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D02F7"/>
    <w:multiLevelType w:val="hybridMultilevel"/>
    <w:tmpl w:val="75D04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6D2FB2"/>
    <w:multiLevelType w:val="hybridMultilevel"/>
    <w:tmpl w:val="F7FC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B4314"/>
    <w:multiLevelType w:val="hybridMultilevel"/>
    <w:tmpl w:val="1A42B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25FF4"/>
    <w:multiLevelType w:val="hybridMultilevel"/>
    <w:tmpl w:val="BB60E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AB5B14"/>
    <w:multiLevelType w:val="hybridMultilevel"/>
    <w:tmpl w:val="BC8E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F2EAB"/>
    <w:multiLevelType w:val="hybridMultilevel"/>
    <w:tmpl w:val="052E3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96168"/>
    <w:multiLevelType w:val="hybridMultilevel"/>
    <w:tmpl w:val="46B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D4D4B"/>
    <w:multiLevelType w:val="hybridMultilevel"/>
    <w:tmpl w:val="074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0"/>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6"/>
    <w:rsid w:val="00017A58"/>
    <w:rsid w:val="00024CE2"/>
    <w:rsid w:val="0003294A"/>
    <w:rsid w:val="00034BF2"/>
    <w:rsid w:val="0004284F"/>
    <w:rsid w:val="00074F1F"/>
    <w:rsid w:val="00094D73"/>
    <w:rsid w:val="00094D82"/>
    <w:rsid w:val="000A4089"/>
    <w:rsid w:val="000C3317"/>
    <w:rsid w:val="0010111C"/>
    <w:rsid w:val="00123BA4"/>
    <w:rsid w:val="0013596E"/>
    <w:rsid w:val="00137E63"/>
    <w:rsid w:val="001801C3"/>
    <w:rsid w:val="001946BE"/>
    <w:rsid w:val="001B4267"/>
    <w:rsid w:val="001B64D2"/>
    <w:rsid w:val="001B6D4C"/>
    <w:rsid w:val="001D3F39"/>
    <w:rsid w:val="001F1C7A"/>
    <w:rsid w:val="0020104A"/>
    <w:rsid w:val="00237D87"/>
    <w:rsid w:val="00250DCE"/>
    <w:rsid w:val="002921BF"/>
    <w:rsid w:val="002B4D2C"/>
    <w:rsid w:val="002C1256"/>
    <w:rsid w:val="002D6DB1"/>
    <w:rsid w:val="002E1026"/>
    <w:rsid w:val="003354E3"/>
    <w:rsid w:val="003802B8"/>
    <w:rsid w:val="00390A9D"/>
    <w:rsid w:val="003B382B"/>
    <w:rsid w:val="003C50CF"/>
    <w:rsid w:val="00405CD6"/>
    <w:rsid w:val="00425911"/>
    <w:rsid w:val="00481D08"/>
    <w:rsid w:val="004953F7"/>
    <w:rsid w:val="004A2D12"/>
    <w:rsid w:val="004E21C6"/>
    <w:rsid w:val="005003DA"/>
    <w:rsid w:val="0050354F"/>
    <w:rsid w:val="00510120"/>
    <w:rsid w:val="0052186C"/>
    <w:rsid w:val="0054006E"/>
    <w:rsid w:val="00542224"/>
    <w:rsid w:val="005439BA"/>
    <w:rsid w:val="00557821"/>
    <w:rsid w:val="00562006"/>
    <w:rsid w:val="00583288"/>
    <w:rsid w:val="00585E51"/>
    <w:rsid w:val="005E3C4D"/>
    <w:rsid w:val="00607AF0"/>
    <w:rsid w:val="00607F96"/>
    <w:rsid w:val="00622CE5"/>
    <w:rsid w:val="00643C78"/>
    <w:rsid w:val="00654DB5"/>
    <w:rsid w:val="006550A0"/>
    <w:rsid w:val="00676D79"/>
    <w:rsid w:val="006C787F"/>
    <w:rsid w:val="006E48F8"/>
    <w:rsid w:val="006F7550"/>
    <w:rsid w:val="00700272"/>
    <w:rsid w:val="00755409"/>
    <w:rsid w:val="00765567"/>
    <w:rsid w:val="007768CF"/>
    <w:rsid w:val="0078574E"/>
    <w:rsid w:val="00797ECB"/>
    <w:rsid w:val="007B0002"/>
    <w:rsid w:val="00816C5C"/>
    <w:rsid w:val="008638DC"/>
    <w:rsid w:val="008872E2"/>
    <w:rsid w:val="008A16B0"/>
    <w:rsid w:val="008A7D98"/>
    <w:rsid w:val="008D6409"/>
    <w:rsid w:val="009009F3"/>
    <w:rsid w:val="009154BA"/>
    <w:rsid w:val="0091708E"/>
    <w:rsid w:val="00921808"/>
    <w:rsid w:val="0094207A"/>
    <w:rsid w:val="009642CC"/>
    <w:rsid w:val="00967253"/>
    <w:rsid w:val="009C62C1"/>
    <w:rsid w:val="009E0F94"/>
    <w:rsid w:val="009F2C51"/>
    <w:rsid w:val="00A0552C"/>
    <w:rsid w:val="00A247F1"/>
    <w:rsid w:val="00A3122E"/>
    <w:rsid w:val="00A312A1"/>
    <w:rsid w:val="00A53F79"/>
    <w:rsid w:val="00A60459"/>
    <w:rsid w:val="00A8663B"/>
    <w:rsid w:val="00AD4272"/>
    <w:rsid w:val="00B237EE"/>
    <w:rsid w:val="00B41AAB"/>
    <w:rsid w:val="00B46FE2"/>
    <w:rsid w:val="00B6658B"/>
    <w:rsid w:val="00B72672"/>
    <w:rsid w:val="00BB6F1D"/>
    <w:rsid w:val="00BC3898"/>
    <w:rsid w:val="00BD6EEB"/>
    <w:rsid w:val="00BE149C"/>
    <w:rsid w:val="00BF5F09"/>
    <w:rsid w:val="00C014CF"/>
    <w:rsid w:val="00C149FB"/>
    <w:rsid w:val="00C223B3"/>
    <w:rsid w:val="00C23953"/>
    <w:rsid w:val="00CA3476"/>
    <w:rsid w:val="00CD307D"/>
    <w:rsid w:val="00D06110"/>
    <w:rsid w:val="00D12206"/>
    <w:rsid w:val="00D16BBE"/>
    <w:rsid w:val="00D37DF2"/>
    <w:rsid w:val="00D43A33"/>
    <w:rsid w:val="00D84B74"/>
    <w:rsid w:val="00DA3827"/>
    <w:rsid w:val="00E04D2F"/>
    <w:rsid w:val="00E055A7"/>
    <w:rsid w:val="00E05E1E"/>
    <w:rsid w:val="00E1673C"/>
    <w:rsid w:val="00E233FA"/>
    <w:rsid w:val="00E25E5B"/>
    <w:rsid w:val="00E40407"/>
    <w:rsid w:val="00E53692"/>
    <w:rsid w:val="00E63850"/>
    <w:rsid w:val="00EB2EC9"/>
    <w:rsid w:val="00EB7C99"/>
    <w:rsid w:val="00ED01A4"/>
    <w:rsid w:val="00ED033B"/>
    <w:rsid w:val="00EF36FD"/>
    <w:rsid w:val="00F41B05"/>
    <w:rsid w:val="00F44FE1"/>
    <w:rsid w:val="00F65307"/>
    <w:rsid w:val="00FA4292"/>
    <w:rsid w:val="00FD4C3D"/>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E1D4CA-171F-4515-A38C-9C8FDD46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DA"/>
    <w:rPr>
      <w:rFonts w:ascii="Segoe UI" w:hAnsi="Segoe UI" w:cs="Segoe UI"/>
      <w:sz w:val="18"/>
      <w:szCs w:val="18"/>
    </w:rPr>
  </w:style>
  <w:style w:type="table" w:styleId="TableGrid">
    <w:name w:val="Table Grid"/>
    <w:basedOn w:val="TableNormal"/>
    <w:uiPriority w:val="39"/>
    <w:rsid w:val="00915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07F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F96"/>
    <w:rPr>
      <w:color w:val="0563C1" w:themeColor="hyperlink"/>
      <w:u w:val="single"/>
    </w:rPr>
  </w:style>
  <w:style w:type="paragraph" w:styleId="ListParagraph">
    <w:name w:val="List Paragraph"/>
    <w:basedOn w:val="Normal"/>
    <w:uiPriority w:val="34"/>
    <w:qFormat/>
    <w:rsid w:val="00607F96"/>
    <w:pPr>
      <w:spacing w:after="0" w:line="240" w:lineRule="auto"/>
      <w:ind w:left="720"/>
      <w:contextualSpacing/>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60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F96"/>
  </w:style>
  <w:style w:type="paragraph" w:styleId="Footer">
    <w:name w:val="footer"/>
    <w:basedOn w:val="Normal"/>
    <w:link w:val="FooterChar"/>
    <w:uiPriority w:val="99"/>
    <w:unhideWhenUsed/>
    <w:rsid w:val="0060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F96"/>
  </w:style>
  <w:style w:type="paragraph" w:styleId="PlainText">
    <w:name w:val="Plain Text"/>
    <w:basedOn w:val="Normal"/>
    <w:link w:val="PlainTextChar"/>
    <w:uiPriority w:val="99"/>
    <w:unhideWhenUsed/>
    <w:rsid w:val="00094D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4D8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59083">
      <w:bodyDiv w:val="1"/>
      <w:marLeft w:val="0"/>
      <w:marRight w:val="0"/>
      <w:marTop w:val="0"/>
      <w:marBottom w:val="0"/>
      <w:divBdr>
        <w:top w:val="none" w:sz="0" w:space="0" w:color="auto"/>
        <w:left w:val="none" w:sz="0" w:space="0" w:color="auto"/>
        <w:bottom w:val="none" w:sz="0" w:space="0" w:color="auto"/>
        <w:right w:val="none" w:sz="0" w:space="0" w:color="auto"/>
      </w:divBdr>
      <w:divsChild>
        <w:div w:id="1877429567">
          <w:marLeft w:val="0"/>
          <w:marRight w:val="0"/>
          <w:marTop w:val="0"/>
          <w:marBottom w:val="0"/>
          <w:divBdr>
            <w:top w:val="none" w:sz="0" w:space="0" w:color="auto"/>
            <w:left w:val="none" w:sz="0" w:space="0" w:color="auto"/>
            <w:bottom w:val="none" w:sz="0" w:space="0" w:color="auto"/>
            <w:right w:val="none" w:sz="0" w:space="0" w:color="auto"/>
          </w:divBdr>
          <w:divsChild>
            <w:div w:id="934675205">
              <w:marLeft w:val="0"/>
              <w:marRight w:val="0"/>
              <w:marTop w:val="0"/>
              <w:marBottom w:val="0"/>
              <w:divBdr>
                <w:top w:val="none" w:sz="0" w:space="0" w:color="auto"/>
                <w:left w:val="none" w:sz="0" w:space="0" w:color="auto"/>
                <w:bottom w:val="none" w:sz="0" w:space="0" w:color="auto"/>
                <w:right w:val="none" w:sz="0" w:space="0" w:color="auto"/>
              </w:divBdr>
              <w:divsChild>
                <w:div w:id="1304042846">
                  <w:marLeft w:val="0"/>
                  <w:marRight w:val="0"/>
                  <w:marTop w:val="0"/>
                  <w:marBottom w:val="0"/>
                  <w:divBdr>
                    <w:top w:val="none" w:sz="0" w:space="0" w:color="auto"/>
                    <w:left w:val="none" w:sz="0" w:space="0" w:color="auto"/>
                    <w:bottom w:val="none" w:sz="0" w:space="0" w:color="auto"/>
                    <w:right w:val="none" w:sz="0" w:space="0" w:color="auto"/>
                  </w:divBdr>
                  <w:divsChild>
                    <w:div w:id="744187049">
                      <w:marLeft w:val="0"/>
                      <w:marRight w:val="0"/>
                      <w:marTop w:val="0"/>
                      <w:marBottom w:val="0"/>
                      <w:divBdr>
                        <w:top w:val="none" w:sz="0" w:space="0" w:color="auto"/>
                        <w:left w:val="none" w:sz="0" w:space="0" w:color="auto"/>
                        <w:bottom w:val="none" w:sz="0" w:space="0" w:color="auto"/>
                        <w:right w:val="none" w:sz="0" w:space="0" w:color="auto"/>
                      </w:divBdr>
                      <w:divsChild>
                        <w:div w:id="1658071364">
                          <w:marLeft w:val="0"/>
                          <w:marRight w:val="0"/>
                          <w:marTop w:val="0"/>
                          <w:marBottom w:val="0"/>
                          <w:divBdr>
                            <w:top w:val="none" w:sz="0" w:space="0" w:color="auto"/>
                            <w:left w:val="none" w:sz="0" w:space="0" w:color="auto"/>
                            <w:bottom w:val="none" w:sz="0" w:space="0" w:color="auto"/>
                            <w:right w:val="none" w:sz="0" w:space="0" w:color="auto"/>
                          </w:divBdr>
                          <w:divsChild>
                            <w:div w:id="96566807">
                              <w:marLeft w:val="0"/>
                              <w:marRight w:val="0"/>
                              <w:marTop w:val="0"/>
                              <w:marBottom w:val="0"/>
                              <w:divBdr>
                                <w:top w:val="none" w:sz="0" w:space="0" w:color="auto"/>
                                <w:left w:val="none" w:sz="0" w:space="0" w:color="auto"/>
                                <w:bottom w:val="none" w:sz="0" w:space="0" w:color="auto"/>
                                <w:right w:val="none" w:sz="0" w:space="0" w:color="auto"/>
                              </w:divBdr>
                              <w:divsChild>
                                <w:div w:id="935290797">
                                  <w:marLeft w:val="0"/>
                                  <w:marRight w:val="0"/>
                                  <w:marTop w:val="0"/>
                                  <w:marBottom w:val="0"/>
                                  <w:divBdr>
                                    <w:top w:val="none" w:sz="0" w:space="0" w:color="auto"/>
                                    <w:left w:val="none" w:sz="0" w:space="0" w:color="auto"/>
                                    <w:bottom w:val="none" w:sz="0" w:space="0" w:color="auto"/>
                                    <w:right w:val="none" w:sz="0" w:space="0" w:color="auto"/>
                                  </w:divBdr>
                                  <w:divsChild>
                                    <w:div w:id="1669670789">
                                      <w:marLeft w:val="0"/>
                                      <w:marRight w:val="0"/>
                                      <w:marTop w:val="0"/>
                                      <w:marBottom w:val="0"/>
                                      <w:divBdr>
                                        <w:top w:val="none" w:sz="0" w:space="0" w:color="auto"/>
                                        <w:left w:val="none" w:sz="0" w:space="0" w:color="auto"/>
                                        <w:bottom w:val="none" w:sz="0" w:space="0" w:color="auto"/>
                                        <w:right w:val="none" w:sz="0" w:space="0" w:color="auto"/>
                                      </w:divBdr>
                                      <w:divsChild>
                                        <w:div w:id="1622879798">
                                          <w:marLeft w:val="0"/>
                                          <w:marRight w:val="0"/>
                                          <w:marTop w:val="0"/>
                                          <w:marBottom w:val="225"/>
                                          <w:divBdr>
                                            <w:top w:val="single" w:sz="6" w:space="0" w:color="E0E4E4"/>
                                            <w:left w:val="none" w:sz="0" w:space="0" w:color="auto"/>
                                            <w:bottom w:val="single" w:sz="6" w:space="0" w:color="E0E4E4"/>
                                            <w:right w:val="none" w:sz="0" w:space="0" w:color="auto"/>
                                          </w:divBdr>
                                          <w:divsChild>
                                            <w:div w:id="1960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84226">
      <w:bodyDiv w:val="1"/>
      <w:marLeft w:val="0"/>
      <w:marRight w:val="0"/>
      <w:marTop w:val="0"/>
      <w:marBottom w:val="0"/>
      <w:divBdr>
        <w:top w:val="none" w:sz="0" w:space="0" w:color="auto"/>
        <w:left w:val="none" w:sz="0" w:space="0" w:color="auto"/>
        <w:bottom w:val="none" w:sz="0" w:space="0" w:color="auto"/>
        <w:right w:val="none" w:sz="0" w:space="0" w:color="auto"/>
      </w:divBdr>
      <w:divsChild>
        <w:div w:id="1614052962">
          <w:marLeft w:val="0"/>
          <w:marRight w:val="0"/>
          <w:marTop w:val="0"/>
          <w:marBottom w:val="0"/>
          <w:divBdr>
            <w:top w:val="none" w:sz="0" w:space="0" w:color="auto"/>
            <w:left w:val="none" w:sz="0" w:space="0" w:color="auto"/>
            <w:bottom w:val="none" w:sz="0" w:space="0" w:color="auto"/>
            <w:right w:val="none" w:sz="0" w:space="0" w:color="auto"/>
          </w:divBdr>
          <w:divsChild>
            <w:div w:id="767965314">
              <w:marLeft w:val="0"/>
              <w:marRight w:val="0"/>
              <w:marTop w:val="0"/>
              <w:marBottom w:val="0"/>
              <w:divBdr>
                <w:top w:val="none" w:sz="0" w:space="0" w:color="auto"/>
                <w:left w:val="none" w:sz="0" w:space="0" w:color="auto"/>
                <w:bottom w:val="none" w:sz="0" w:space="0" w:color="auto"/>
                <w:right w:val="none" w:sz="0" w:space="0" w:color="auto"/>
              </w:divBdr>
              <w:divsChild>
                <w:div w:id="1129592009">
                  <w:marLeft w:val="0"/>
                  <w:marRight w:val="0"/>
                  <w:marTop w:val="0"/>
                  <w:marBottom w:val="0"/>
                  <w:divBdr>
                    <w:top w:val="none" w:sz="0" w:space="0" w:color="auto"/>
                    <w:left w:val="none" w:sz="0" w:space="0" w:color="auto"/>
                    <w:bottom w:val="none" w:sz="0" w:space="0" w:color="auto"/>
                    <w:right w:val="none" w:sz="0" w:space="0" w:color="auto"/>
                  </w:divBdr>
                  <w:divsChild>
                    <w:div w:id="56586293">
                      <w:marLeft w:val="0"/>
                      <w:marRight w:val="0"/>
                      <w:marTop w:val="0"/>
                      <w:marBottom w:val="0"/>
                      <w:divBdr>
                        <w:top w:val="none" w:sz="0" w:space="0" w:color="auto"/>
                        <w:left w:val="none" w:sz="0" w:space="0" w:color="auto"/>
                        <w:bottom w:val="none" w:sz="0" w:space="0" w:color="auto"/>
                        <w:right w:val="none" w:sz="0" w:space="0" w:color="auto"/>
                      </w:divBdr>
                      <w:divsChild>
                        <w:div w:id="1669363223">
                          <w:marLeft w:val="0"/>
                          <w:marRight w:val="0"/>
                          <w:marTop w:val="0"/>
                          <w:marBottom w:val="0"/>
                          <w:divBdr>
                            <w:top w:val="none" w:sz="0" w:space="0" w:color="auto"/>
                            <w:left w:val="none" w:sz="0" w:space="0" w:color="auto"/>
                            <w:bottom w:val="none" w:sz="0" w:space="0" w:color="auto"/>
                            <w:right w:val="none" w:sz="0" w:space="0" w:color="auto"/>
                          </w:divBdr>
                          <w:divsChild>
                            <w:div w:id="703166955">
                              <w:marLeft w:val="0"/>
                              <w:marRight w:val="0"/>
                              <w:marTop w:val="0"/>
                              <w:marBottom w:val="0"/>
                              <w:divBdr>
                                <w:top w:val="none" w:sz="0" w:space="0" w:color="auto"/>
                                <w:left w:val="none" w:sz="0" w:space="0" w:color="auto"/>
                                <w:bottom w:val="none" w:sz="0" w:space="0" w:color="auto"/>
                                <w:right w:val="none" w:sz="0" w:space="0" w:color="auto"/>
                              </w:divBdr>
                              <w:divsChild>
                                <w:div w:id="2077195107">
                                  <w:marLeft w:val="0"/>
                                  <w:marRight w:val="0"/>
                                  <w:marTop w:val="0"/>
                                  <w:marBottom w:val="0"/>
                                  <w:divBdr>
                                    <w:top w:val="none" w:sz="0" w:space="0" w:color="auto"/>
                                    <w:left w:val="none" w:sz="0" w:space="0" w:color="auto"/>
                                    <w:bottom w:val="none" w:sz="0" w:space="0" w:color="auto"/>
                                    <w:right w:val="none" w:sz="0" w:space="0" w:color="auto"/>
                                  </w:divBdr>
                                  <w:divsChild>
                                    <w:div w:id="330110394">
                                      <w:marLeft w:val="0"/>
                                      <w:marRight w:val="0"/>
                                      <w:marTop w:val="0"/>
                                      <w:marBottom w:val="0"/>
                                      <w:divBdr>
                                        <w:top w:val="none" w:sz="0" w:space="0" w:color="auto"/>
                                        <w:left w:val="none" w:sz="0" w:space="0" w:color="auto"/>
                                        <w:bottom w:val="none" w:sz="0" w:space="0" w:color="auto"/>
                                        <w:right w:val="none" w:sz="0" w:space="0" w:color="auto"/>
                                      </w:divBdr>
                                      <w:divsChild>
                                        <w:div w:id="1004169144">
                                          <w:marLeft w:val="0"/>
                                          <w:marRight w:val="0"/>
                                          <w:marTop w:val="0"/>
                                          <w:marBottom w:val="225"/>
                                          <w:divBdr>
                                            <w:top w:val="single" w:sz="6" w:space="0" w:color="E0E4E4"/>
                                            <w:left w:val="none" w:sz="0" w:space="0" w:color="auto"/>
                                            <w:bottom w:val="single" w:sz="6" w:space="0" w:color="E0E4E4"/>
                                            <w:right w:val="none" w:sz="0" w:space="0" w:color="auto"/>
                                          </w:divBdr>
                                          <w:divsChild>
                                            <w:div w:id="10203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200432">
      <w:bodyDiv w:val="1"/>
      <w:marLeft w:val="0"/>
      <w:marRight w:val="0"/>
      <w:marTop w:val="0"/>
      <w:marBottom w:val="0"/>
      <w:divBdr>
        <w:top w:val="none" w:sz="0" w:space="0" w:color="auto"/>
        <w:left w:val="none" w:sz="0" w:space="0" w:color="auto"/>
        <w:bottom w:val="none" w:sz="0" w:space="0" w:color="auto"/>
        <w:right w:val="none" w:sz="0" w:space="0" w:color="auto"/>
      </w:divBdr>
      <w:divsChild>
        <w:div w:id="1274092223">
          <w:marLeft w:val="0"/>
          <w:marRight w:val="0"/>
          <w:marTop w:val="0"/>
          <w:marBottom w:val="0"/>
          <w:divBdr>
            <w:top w:val="none" w:sz="0" w:space="0" w:color="auto"/>
            <w:left w:val="none" w:sz="0" w:space="0" w:color="auto"/>
            <w:bottom w:val="none" w:sz="0" w:space="0" w:color="auto"/>
            <w:right w:val="none" w:sz="0" w:space="0" w:color="auto"/>
          </w:divBdr>
          <w:divsChild>
            <w:div w:id="1561483065">
              <w:marLeft w:val="0"/>
              <w:marRight w:val="0"/>
              <w:marTop w:val="0"/>
              <w:marBottom w:val="0"/>
              <w:divBdr>
                <w:top w:val="none" w:sz="0" w:space="0" w:color="auto"/>
                <w:left w:val="none" w:sz="0" w:space="0" w:color="auto"/>
                <w:bottom w:val="none" w:sz="0" w:space="0" w:color="auto"/>
                <w:right w:val="none" w:sz="0" w:space="0" w:color="auto"/>
              </w:divBdr>
              <w:divsChild>
                <w:div w:id="1941840567">
                  <w:marLeft w:val="0"/>
                  <w:marRight w:val="0"/>
                  <w:marTop w:val="0"/>
                  <w:marBottom w:val="0"/>
                  <w:divBdr>
                    <w:top w:val="none" w:sz="0" w:space="0" w:color="auto"/>
                    <w:left w:val="none" w:sz="0" w:space="0" w:color="auto"/>
                    <w:bottom w:val="none" w:sz="0" w:space="0" w:color="auto"/>
                    <w:right w:val="none" w:sz="0" w:space="0" w:color="auto"/>
                  </w:divBdr>
                  <w:divsChild>
                    <w:div w:id="2039310733">
                      <w:marLeft w:val="0"/>
                      <w:marRight w:val="0"/>
                      <w:marTop w:val="0"/>
                      <w:marBottom w:val="0"/>
                      <w:divBdr>
                        <w:top w:val="none" w:sz="0" w:space="0" w:color="auto"/>
                        <w:left w:val="none" w:sz="0" w:space="0" w:color="auto"/>
                        <w:bottom w:val="none" w:sz="0" w:space="0" w:color="auto"/>
                        <w:right w:val="none" w:sz="0" w:space="0" w:color="auto"/>
                      </w:divBdr>
                      <w:divsChild>
                        <w:div w:id="1667324517">
                          <w:marLeft w:val="0"/>
                          <w:marRight w:val="0"/>
                          <w:marTop w:val="0"/>
                          <w:marBottom w:val="0"/>
                          <w:divBdr>
                            <w:top w:val="none" w:sz="0" w:space="0" w:color="auto"/>
                            <w:left w:val="none" w:sz="0" w:space="0" w:color="auto"/>
                            <w:bottom w:val="none" w:sz="0" w:space="0" w:color="auto"/>
                            <w:right w:val="none" w:sz="0" w:space="0" w:color="auto"/>
                          </w:divBdr>
                          <w:divsChild>
                            <w:div w:id="1481463253">
                              <w:marLeft w:val="0"/>
                              <w:marRight w:val="0"/>
                              <w:marTop w:val="0"/>
                              <w:marBottom w:val="0"/>
                              <w:divBdr>
                                <w:top w:val="none" w:sz="0" w:space="0" w:color="auto"/>
                                <w:left w:val="none" w:sz="0" w:space="0" w:color="auto"/>
                                <w:bottom w:val="none" w:sz="0" w:space="0" w:color="auto"/>
                                <w:right w:val="none" w:sz="0" w:space="0" w:color="auto"/>
                              </w:divBdr>
                              <w:divsChild>
                                <w:div w:id="385683873">
                                  <w:marLeft w:val="0"/>
                                  <w:marRight w:val="0"/>
                                  <w:marTop w:val="0"/>
                                  <w:marBottom w:val="0"/>
                                  <w:divBdr>
                                    <w:top w:val="none" w:sz="0" w:space="0" w:color="auto"/>
                                    <w:left w:val="none" w:sz="0" w:space="0" w:color="auto"/>
                                    <w:bottom w:val="none" w:sz="0" w:space="0" w:color="auto"/>
                                    <w:right w:val="none" w:sz="0" w:space="0" w:color="auto"/>
                                  </w:divBdr>
                                  <w:divsChild>
                                    <w:div w:id="603877464">
                                      <w:marLeft w:val="0"/>
                                      <w:marRight w:val="0"/>
                                      <w:marTop w:val="0"/>
                                      <w:marBottom w:val="0"/>
                                      <w:divBdr>
                                        <w:top w:val="none" w:sz="0" w:space="0" w:color="auto"/>
                                        <w:left w:val="none" w:sz="0" w:space="0" w:color="auto"/>
                                        <w:bottom w:val="none" w:sz="0" w:space="0" w:color="auto"/>
                                        <w:right w:val="none" w:sz="0" w:space="0" w:color="auto"/>
                                      </w:divBdr>
                                      <w:divsChild>
                                        <w:div w:id="1992710101">
                                          <w:marLeft w:val="0"/>
                                          <w:marRight w:val="0"/>
                                          <w:marTop w:val="0"/>
                                          <w:marBottom w:val="225"/>
                                          <w:divBdr>
                                            <w:top w:val="single" w:sz="6" w:space="0" w:color="E0E4E4"/>
                                            <w:left w:val="none" w:sz="0" w:space="0" w:color="auto"/>
                                            <w:bottom w:val="single" w:sz="6" w:space="0" w:color="E0E4E4"/>
                                            <w:right w:val="none" w:sz="0" w:space="0" w:color="auto"/>
                                          </w:divBdr>
                                          <w:divsChild>
                                            <w:div w:id="12360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382215">
      <w:bodyDiv w:val="1"/>
      <w:marLeft w:val="0"/>
      <w:marRight w:val="0"/>
      <w:marTop w:val="0"/>
      <w:marBottom w:val="0"/>
      <w:divBdr>
        <w:top w:val="none" w:sz="0" w:space="0" w:color="auto"/>
        <w:left w:val="none" w:sz="0" w:space="0" w:color="auto"/>
        <w:bottom w:val="none" w:sz="0" w:space="0" w:color="auto"/>
        <w:right w:val="none" w:sz="0" w:space="0" w:color="auto"/>
      </w:divBdr>
      <w:divsChild>
        <w:div w:id="375351661">
          <w:marLeft w:val="0"/>
          <w:marRight w:val="0"/>
          <w:marTop w:val="0"/>
          <w:marBottom w:val="0"/>
          <w:divBdr>
            <w:top w:val="none" w:sz="0" w:space="0" w:color="auto"/>
            <w:left w:val="none" w:sz="0" w:space="0" w:color="auto"/>
            <w:bottom w:val="none" w:sz="0" w:space="0" w:color="auto"/>
            <w:right w:val="none" w:sz="0" w:space="0" w:color="auto"/>
          </w:divBdr>
          <w:divsChild>
            <w:div w:id="665472229">
              <w:marLeft w:val="0"/>
              <w:marRight w:val="0"/>
              <w:marTop w:val="0"/>
              <w:marBottom w:val="0"/>
              <w:divBdr>
                <w:top w:val="none" w:sz="0" w:space="0" w:color="auto"/>
                <w:left w:val="none" w:sz="0" w:space="0" w:color="auto"/>
                <w:bottom w:val="none" w:sz="0" w:space="0" w:color="auto"/>
                <w:right w:val="none" w:sz="0" w:space="0" w:color="auto"/>
              </w:divBdr>
              <w:divsChild>
                <w:div w:id="1961255203">
                  <w:marLeft w:val="0"/>
                  <w:marRight w:val="0"/>
                  <w:marTop w:val="0"/>
                  <w:marBottom w:val="0"/>
                  <w:divBdr>
                    <w:top w:val="none" w:sz="0" w:space="0" w:color="auto"/>
                    <w:left w:val="none" w:sz="0" w:space="0" w:color="auto"/>
                    <w:bottom w:val="none" w:sz="0" w:space="0" w:color="auto"/>
                    <w:right w:val="none" w:sz="0" w:space="0" w:color="auto"/>
                  </w:divBdr>
                  <w:divsChild>
                    <w:div w:id="2009482101">
                      <w:marLeft w:val="0"/>
                      <w:marRight w:val="0"/>
                      <w:marTop w:val="0"/>
                      <w:marBottom w:val="0"/>
                      <w:divBdr>
                        <w:top w:val="none" w:sz="0" w:space="0" w:color="auto"/>
                        <w:left w:val="none" w:sz="0" w:space="0" w:color="auto"/>
                        <w:bottom w:val="none" w:sz="0" w:space="0" w:color="auto"/>
                        <w:right w:val="none" w:sz="0" w:space="0" w:color="auto"/>
                      </w:divBdr>
                      <w:divsChild>
                        <w:div w:id="2024430438">
                          <w:marLeft w:val="0"/>
                          <w:marRight w:val="0"/>
                          <w:marTop w:val="0"/>
                          <w:marBottom w:val="0"/>
                          <w:divBdr>
                            <w:top w:val="none" w:sz="0" w:space="0" w:color="auto"/>
                            <w:left w:val="none" w:sz="0" w:space="0" w:color="auto"/>
                            <w:bottom w:val="none" w:sz="0" w:space="0" w:color="auto"/>
                            <w:right w:val="none" w:sz="0" w:space="0" w:color="auto"/>
                          </w:divBdr>
                          <w:divsChild>
                            <w:div w:id="1053650508">
                              <w:marLeft w:val="0"/>
                              <w:marRight w:val="0"/>
                              <w:marTop w:val="0"/>
                              <w:marBottom w:val="0"/>
                              <w:divBdr>
                                <w:top w:val="none" w:sz="0" w:space="0" w:color="auto"/>
                                <w:left w:val="none" w:sz="0" w:space="0" w:color="auto"/>
                                <w:bottom w:val="none" w:sz="0" w:space="0" w:color="auto"/>
                                <w:right w:val="none" w:sz="0" w:space="0" w:color="auto"/>
                              </w:divBdr>
                              <w:divsChild>
                                <w:div w:id="944965117">
                                  <w:marLeft w:val="0"/>
                                  <w:marRight w:val="0"/>
                                  <w:marTop w:val="0"/>
                                  <w:marBottom w:val="0"/>
                                  <w:divBdr>
                                    <w:top w:val="none" w:sz="0" w:space="0" w:color="auto"/>
                                    <w:left w:val="none" w:sz="0" w:space="0" w:color="auto"/>
                                    <w:bottom w:val="none" w:sz="0" w:space="0" w:color="auto"/>
                                    <w:right w:val="none" w:sz="0" w:space="0" w:color="auto"/>
                                  </w:divBdr>
                                  <w:divsChild>
                                    <w:div w:id="1430732799">
                                      <w:marLeft w:val="0"/>
                                      <w:marRight w:val="0"/>
                                      <w:marTop w:val="0"/>
                                      <w:marBottom w:val="0"/>
                                      <w:divBdr>
                                        <w:top w:val="none" w:sz="0" w:space="0" w:color="auto"/>
                                        <w:left w:val="none" w:sz="0" w:space="0" w:color="auto"/>
                                        <w:bottom w:val="none" w:sz="0" w:space="0" w:color="auto"/>
                                        <w:right w:val="none" w:sz="0" w:space="0" w:color="auto"/>
                                      </w:divBdr>
                                      <w:divsChild>
                                        <w:div w:id="14515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93342">
      <w:bodyDiv w:val="1"/>
      <w:marLeft w:val="0"/>
      <w:marRight w:val="0"/>
      <w:marTop w:val="0"/>
      <w:marBottom w:val="0"/>
      <w:divBdr>
        <w:top w:val="none" w:sz="0" w:space="0" w:color="auto"/>
        <w:left w:val="none" w:sz="0" w:space="0" w:color="auto"/>
        <w:bottom w:val="none" w:sz="0" w:space="0" w:color="auto"/>
        <w:right w:val="none" w:sz="0" w:space="0" w:color="auto"/>
      </w:divBdr>
      <w:divsChild>
        <w:div w:id="682511854">
          <w:marLeft w:val="0"/>
          <w:marRight w:val="0"/>
          <w:marTop w:val="0"/>
          <w:marBottom w:val="0"/>
          <w:divBdr>
            <w:top w:val="none" w:sz="0" w:space="0" w:color="auto"/>
            <w:left w:val="none" w:sz="0" w:space="0" w:color="auto"/>
            <w:bottom w:val="none" w:sz="0" w:space="0" w:color="auto"/>
            <w:right w:val="none" w:sz="0" w:space="0" w:color="auto"/>
          </w:divBdr>
          <w:divsChild>
            <w:div w:id="748969434">
              <w:marLeft w:val="0"/>
              <w:marRight w:val="0"/>
              <w:marTop w:val="0"/>
              <w:marBottom w:val="0"/>
              <w:divBdr>
                <w:top w:val="none" w:sz="0" w:space="0" w:color="auto"/>
                <w:left w:val="none" w:sz="0" w:space="0" w:color="auto"/>
                <w:bottom w:val="none" w:sz="0" w:space="0" w:color="auto"/>
                <w:right w:val="none" w:sz="0" w:space="0" w:color="auto"/>
              </w:divBdr>
              <w:divsChild>
                <w:div w:id="476068806">
                  <w:marLeft w:val="0"/>
                  <w:marRight w:val="0"/>
                  <w:marTop w:val="0"/>
                  <w:marBottom w:val="0"/>
                  <w:divBdr>
                    <w:top w:val="none" w:sz="0" w:space="0" w:color="auto"/>
                    <w:left w:val="none" w:sz="0" w:space="0" w:color="auto"/>
                    <w:bottom w:val="none" w:sz="0" w:space="0" w:color="auto"/>
                    <w:right w:val="none" w:sz="0" w:space="0" w:color="auto"/>
                  </w:divBdr>
                  <w:divsChild>
                    <w:div w:id="178202838">
                      <w:marLeft w:val="0"/>
                      <w:marRight w:val="0"/>
                      <w:marTop w:val="0"/>
                      <w:marBottom w:val="0"/>
                      <w:divBdr>
                        <w:top w:val="none" w:sz="0" w:space="0" w:color="auto"/>
                        <w:left w:val="none" w:sz="0" w:space="0" w:color="auto"/>
                        <w:bottom w:val="none" w:sz="0" w:space="0" w:color="auto"/>
                        <w:right w:val="none" w:sz="0" w:space="0" w:color="auto"/>
                      </w:divBdr>
                      <w:divsChild>
                        <w:div w:id="1630478762">
                          <w:marLeft w:val="0"/>
                          <w:marRight w:val="0"/>
                          <w:marTop w:val="0"/>
                          <w:marBottom w:val="0"/>
                          <w:divBdr>
                            <w:top w:val="none" w:sz="0" w:space="0" w:color="auto"/>
                            <w:left w:val="none" w:sz="0" w:space="0" w:color="auto"/>
                            <w:bottom w:val="none" w:sz="0" w:space="0" w:color="auto"/>
                            <w:right w:val="none" w:sz="0" w:space="0" w:color="auto"/>
                          </w:divBdr>
                          <w:divsChild>
                            <w:div w:id="90317599">
                              <w:marLeft w:val="0"/>
                              <w:marRight w:val="0"/>
                              <w:marTop w:val="0"/>
                              <w:marBottom w:val="0"/>
                              <w:divBdr>
                                <w:top w:val="none" w:sz="0" w:space="0" w:color="auto"/>
                                <w:left w:val="none" w:sz="0" w:space="0" w:color="auto"/>
                                <w:bottom w:val="none" w:sz="0" w:space="0" w:color="auto"/>
                                <w:right w:val="none" w:sz="0" w:space="0" w:color="auto"/>
                              </w:divBdr>
                              <w:divsChild>
                                <w:div w:id="1774861313">
                                  <w:marLeft w:val="0"/>
                                  <w:marRight w:val="0"/>
                                  <w:marTop w:val="0"/>
                                  <w:marBottom w:val="0"/>
                                  <w:divBdr>
                                    <w:top w:val="none" w:sz="0" w:space="0" w:color="auto"/>
                                    <w:left w:val="none" w:sz="0" w:space="0" w:color="auto"/>
                                    <w:bottom w:val="none" w:sz="0" w:space="0" w:color="auto"/>
                                    <w:right w:val="none" w:sz="0" w:space="0" w:color="auto"/>
                                  </w:divBdr>
                                  <w:divsChild>
                                    <w:div w:id="1732846347">
                                      <w:marLeft w:val="0"/>
                                      <w:marRight w:val="0"/>
                                      <w:marTop w:val="0"/>
                                      <w:marBottom w:val="0"/>
                                      <w:divBdr>
                                        <w:top w:val="none" w:sz="0" w:space="0" w:color="auto"/>
                                        <w:left w:val="none" w:sz="0" w:space="0" w:color="auto"/>
                                        <w:bottom w:val="none" w:sz="0" w:space="0" w:color="auto"/>
                                        <w:right w:val="none" w:sz="0" w:space="0" w:color="auto"/>
                                      </w:divBdr>
                                      <w:divsChild>
                                        <w:div w:id="21430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729325">
      <w:bodyDiv w:val="1"/>
      <w:marLeft w:val="0"/>
      <w:marRight w:val="0"/>
      <w:marTop w:val="0"/>
      <w:marBottom w:val="0"/>
      <w:divBdr>
        <w:top w:val="none" w:sz="0" w:space="0" w:color="auto"/>
        <w:left w:val="none" w:sz="0" w:space="0" w:color="auto"/>
        <w:bottom w:val="none" w:sz="0" w:space="0" w:color="auto"/>
        <w:right w:val="none" w:sz="0" w:space="0" w:color="auto"/>
      </w:divBdr>
      <w:divsChild>
        <w:div w:id="1849250520">
          <w:marLeft w:val="0"/>
          <w:marRight w:val="0"/>
          <w:marTop w:val="0"/>
          <w:marBottom w:val="0"/>
          <w:divBdr>
            <w:top w:val="none" w:sz="0" w:space="0" w:color="auto"/>
            <w:left w:val="none" w:sz="0" w:space="0" w:color="auto"/>
            <w:bottom w:val="none" w:sz="0" w:space="0" w:color="auto"/>
            <w:right w:val="none" w:sz="0" w:space="0" w:color="auto"/>
          </w:divBdr>
          <w:divsChild>
            <w:div w:id="1314411011">
              <w:marLeft w:val="0"/>
              <w:marRight w:val="0"/>
              <w:marTop w:val="0"/>
              <w:marBottom w:val="0"/>
              <w:divBdr>
                <w:top w:val="none" w:sz="0" w:space="0" w:color="auto"/>
                <w:left w:val="none" w:sz="0" w:space="0" w:color="auto"/>
                <w:bottom w:val="none" w:sz="0" w:space="0" w:color="auto"/>
                <w:right w:val="none" w:sz="0" w:space="0" w:color="auto"/>
              </w:divBdr>
              <w:divsChild>
                <w:div w:id="839463841">
                  <w:marLeft w:val="0"/>
                  <w:marRight w:val="0"/>
                  <w:marTop w:val="0"/>
                  <w:marBottom w:val="0"/>
                  <w:divBdr>
                    <w:top w:val="none" w:sz="0" w:space="0" w:color="auto"/>
                    <w:left w:val="none" w:sz="0" w:space="0" w:color="auto"/>
                    <w:bottom w:val="none" w:sz="0" w:space="0" w:color="auto"/>
                    <w:right w:val="none" w:sz="0" w:space="0" w:color="auto"/>
                  </w:divBdr>
                  <w:divsChild>
                    <w:div w:id="350910947">
                      <w:marLeft w:val="0"/>
                      <w:marRight w:val="0"/>
                      <w:marTop w:val="0"/>
                      <w:marBottom w:val="0"/>
                      <w:divBdr>
                        <w:top w:val="none" w:sz="0" w:space="0" w:color="auto"/>
                        <w:left w:val="none" w:sz="0" w:space="0" w:color="auto"/>
                        <w:bottom w:val="none" w:sz="0" w:space="0" w:color="auto"/>
                        <w:right w:val="none" w:sz="0" w:space="0" w:color="auto"/>
                      </w:divBdr>
                      <w:divsChild>
                        <w:div w:id="254829058">
                          <w:marLeft w:val="0"/>
                          <w:marRight w:val="0"/>
                          <w:marTop w:val="0"/>
                          <w:marBottom w:val="0"/>
                          <w:divBdr>
                            <w:top w:val="none" w:sz="0" w:space="0" w:color="auto"/>
                            <w:left w:val="none" w:sz="0" w:space="0" w:color="auto"/>
                            <w:bottom w:val="none" w:sz="0" w:space="0" w:color="auto"/>
                            <w:right w:val="none" w:sz="0" w:space="0" w:color="auto"/>
                          </w:divBdr>
                          <w:divsChild>
                            <w:div w:id="1993748120">
                              <w:marLeft w:val="0"/>
                              <w:marRight w:val="0"/>
                              <w:marTop w:val="0"/>
                              <w:marBottom w:val="0"/>
                              <w:divBdr>
                                <w:top w:val="none" w:sz="0" w:space="0" w:color="auto"/>
                                <w:left w:val="none" w:sz="0" w:space="0" w:color="auto"/>
                                <w:bottom w:val="none" w:sz="0" w:space="0" w:color="auto"/>
                                <w:right w:val="none" w:sz="0" w:space="0" w:color="auto"/>
                              </w:divBdr>
                              <w:divsChild>
                                <w:div w:id="583228656">
                                  <w:marLeft w:val="0"/>
                                  <w:marRight w:val="0"/>
                                  <w:marTop w:val="0"/>
                                  <w:marBottom w:val="0"/>
                                  <w:divBdr>
                                    <w:top w:val="none" w:sz="0" w:space="0" w:color="auto"/>
                                    <w:left w:val="none" w:sz="0" w:space="0" w:color="auto"/>
                                    <w:bottom w:val="none" w:sz="0" w:space="0" w:color="auto"/>
                                    <w:right w:val="none" w:sz="0" w:space="0" w:color="auto"/>
                                  </w:divBdr>
                                  <w:divsChild>
                                    <w:div w:id="1770738698">
                                      <w:marLeft w:val="0"/>
                                      <w:marRight w:val="0"/>
                                      <w:marTop w:val="0"/>
                                      <w:marBottom w:val="0"/>
                                      <w:divBdr>
                                        <w:top w:val="none" w:sz="0" w:space="0" w:color="auto"/>
                                        <w:left w:val="none" w:sz="0" w:space="0" w:color="auto"/>
                                        <w:bottom w:val="none" w:sz="0" w:space="0" w:color="auto"/>
                                        <w:right w:val="none" w:sz="0" w:space="0" w:color="auto"/>
                                      </w:divBdr>
                                      <w:divsChild>
                                        <w:div w:id="2060980405">
                                          <w:marLeft w:val="0"/>
                                          <w:marRight w:val="0"/>
                                          <w:marTop w:val="0"/>
                                          <w:marBottom w:val="225"/>
                                          <w:divBdr>
                                            <w:top w:val="single" w:sz="6" w:space="0" w:color="E0E4E4"/>
                                            <w:left w:val="none" w:sz="0" w:space="0" w:color="auto"/>
                                            <w:bottom w:val="single" w:sz="6" w:space="0" w:color="E0E4E4"/>
                                            <w:right w:val="none" w:sz="0" w:space="0" w:color="auto"/>
                                          </w:divBdr>
                                          <w:divsChild>
                                            <w:div w:id="17734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sChild>
        <w:div w:id="1526365896">
          <w:marLeft w:val="0"/>
          <w:marRight w:val="0"/>
          <w:marTop w:val="0"/>
          <w:marBottom w:val="0"/>
          <w:divBdr>
            <w:top w:val="none" w:sz="0" w:space="0" w:color="auto"/>
            <w:left w:val="none" w:sz="0" w:space="0" w:color="auto"/>
            <w:bottom w:val="none" w:sz="0" w:space="0" w:color="auto"/>
            <w:right w:val="none" w:sz="0" w:space="0" w:color="auto"/>
          </w:divBdr>
          <w:divsChild>
            <w:div w:id="1015545962">
              <w:marLeft w:val="0"/>
              <w:marRight w:val="0"/>
              <w:marTop w:val="0"/>
              <w:marBottom w:val="0"/>
              <w:divBdr>
                <w:top w:val="none" w:sz="0" w:space="0" w:color="auto"/>
                <w:left w:val="none" w:sz="0" w:space="0" w:color="auto"/>
                <w:bottom w:val="none" w:sz="0" w:space="0" w:color="auto"/>
                <w:right w:val="none" w:sz="0" w:space="0" w:color="auto"/>
              </w:divBdr>
              <w:divsChild>
                <w:div w:id="99642580">
                  <w:marLeft w:val="0"/>
                  <w:marRight w:val="0"/>
                  <w:marTop w:val="0"/>
                  <w:marBottom w:val="0"/>
                  <w:divBdr>
                    <w:top w:val="none" w:sz="0" w:space="0" w:color="auto"/>
                    <w:left w:val="none" w:sz="0" w:space="0" w:color="auto"/>
                    <w:bottom w:val="none" w:sz="0" w:space="0" w:color="auto"/>
                    <w:right w:val="none" w:sz="0" w:space="0" w:color="auto"/>
                  </w:divBdr>
                  <w:divsChild>
                    <w:div w:id="47536051">
                      <w:marLeft w:val="0"/>
                      <w:marRight w:val="0"/>
                      <w:marTop w:val="0"/>
                      <w:marBottom w:val="0"/>
                      <w:divBdr>
                        <w:top w:val="none" w:sz="0" w:space="0" w:color="auto"/>
                        <w:left w:val="none" w:sz="0" w:space="0" w:color="auto"/>
                        <w:bottom w:val="none" w:sz="0" w:space="0" w:color="auto"/>
                        <w:right w:val="none" w:sz="0" w:space="0" w:color="auto"/>
                      </w:divBdr>
                      <w:divsChild>
                        <w:div w:id="946156271">
                          <w:marLeft w:val="0"/>
                          <w:marRight w:val="0"/>
                          <w:marTop w:val="0"/>
                          <w:marBottom w:val="0"/>
                          <w:divBdr>
                            <w:top w:val="none" w:sz="0" w:space="0" w:color="auto"/>
                            <w:left w:val="none" w:sz="0" w:space="0" w:color="auto"/>
                            <w:bottom w:val="none" w:sz="0" w:space="0" w:color="auto"/>
                            <w:right w:val="none" w:sz="0" w:space="0" w:color="auto"/>
                          </w:divBdr>
                          <w:divsChild>
                            <w:div w:id="979457418">
                              <w:marLeft w:val="0"/>
                              <w:marRight w:val="0"/>
                              <w:marTop w:val="0"/>
                              <w:marBottom w:val="0"/>
                              <w:divBdr>
                                <w:top w:val="none" w:sz="0" w:space="0" w:color="auto"/>
                                <w:left w:val="none" w:sz="0" w:space="0" w:color="auto"/>
                                <w:bottom w:val="none" w:sz="0" w:space="0" w:color="auto"/>
                                <w:right w:val="none" w:sz="0" w:space="0" w:color="auto"/>
                              </w:divBdr>
                              <w:divsChild>
                                <w:div w:id="304969801">
                                  <w:marLeft w:val="0"/>
                                  <w:marRight w:val="0"/>
                                  <w:marTop w:val="0"/>
                                  <w:marBottom w:val="0"/>
                                  <w:divBdr>
                                    <w:top w:val="none" w:sz="0" w:space="0" w:color="auto"/>
                                    <w:left w:val="none" w:sz="0" w:space="0" w:color="auto"/>
                                    <w:bottom w:val="none" w:sz="0" w:space="0" w:color="auto"/>
                                    <w:right w:val="none" w:sz="0" w:space="0" w:color="auto"/>
                                  </w:divBdr>
                                  <w:divsChild>
                                    <w:div w:id="241985530">
                                      <w:marLeft w:val="0"/>
                                      <w:marRight w:val="0"/>
                                      <w:marTop w:val="0"/>
                                      <w:marBottom w:val="0"/>
                                      <w:divBdr>
                                        <w:top w:val="none" w:sz="0" w:space="0" w:color="auto"/>
                                        <w:left w:val="none" w:sz="0" w:space="0" w:color="auto"/>
                                        <w:bottom w:val="none" w:sz="0" w:space="0" w:color="auto"/>
                                        <w:right w:val="none" w:sz="0" w:space="0" w:color="auto"/>
                                      </w:divBdr>
                                      <w:divsChild>
                                        <w:div w:id="738091525">
                                          <w:marLeft w:val="0"/>
                                          <w:marRight w:val="0"/>
                                          <w:marTop w:val="0"/>
                                          <w:marBottom w:val="225"/>
                                          <w:divBdr>
                                            <w:top w:val="single" w:sz="6" w:space="0" w:color="E0E4E4"/>
                                            <w:left w:val="none" w:sz="0" w:space="0" w:color="auto"/>
                                            <w:bottom w:val="single" w:sz="6" w:space="0" w:color="E0E4E4"/>
                                            <w:right w:val="none" w:sz="0" w:space="0" w:color="auto"/>
                                          </w:divBdr>
                                          <w:divsChild>
                                            <w:div w:id="1366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73742">
      <w:bodyDiv w:val="1"/>
      <w:marLeft w:val="0"/>
      <w:marRight w:val="0"/>
      <w:marTop w:val="0"/>
      <w:marBottom w:val="0"/>
      <w:divBdr>
        <w:top w:val="none" w:sz="0" w:space="0" w:color="auto"/>
        <w:left w:val="none" w:sz="0" w:space="0" w:color="auto"/>
        <w:bottom w:val="none" w:sz="0" w:space="0" w:color="auto"/>
        <w:right w:val="none" w:sz="0" w:space="0" w:color="auto"/>
      </w:divBdr>
      <w:divsChild>
        <w:div w:id="1017391960">
          <w:marLeft w:val="0"/>
          <w:marRight w:val="0"/>
          <w:marTop w:val="0"/>
          <w:marBottom w:val="0"/>
          <w:divBdr>
            <w:top w:val="none" w:sz="0" w:space="0" w:color="auto"/>
            <w:left w:val="none" w:sz="0" w:space="0" w:color="auto"/>
            <w:bottom w:val="none" w:sz="0" w:space="0" w:color="auto"/>
            <w:right w:val="none" w:sz="0" w:space="0" w:color="auto"/>
          </w:divBdr>
          <w:divsChild>
            <w:div w:id="1137263859">
              <w:marLeft w:val="0"/>
              <w:marRight w:val="0"/>
              <w:marTop w:val="0"/>
              <w:marBottom w:val="0"/>
              <w:divBdr>
                <w:top w:val="none" w:sz="0" w:space="0" w:color="auto"/>
                <w:left w:val="none" w:sz="0" w:space="0" w:color="auto"/>
                <w:bottom w:val="none" w:sz="0" w:space="0" w:color="auto"/>
                <w:right w:val="none" w:sz="0" w:space="0" w:color="auto"/>
              </w:divBdr>
              <w:divsChild>
                <w:div w:id="1578049420">
                  <w:marLeft w:val="0"/>
                  <w:marRight w:val="0"/>
                  <w:marTop w:val="0"/>
                  <w:marBottom w:val="0"/>
                  <w:divBdr>
                    <w:top w:val="none" w:sz="0" w:space="0" w:color="auto"/>
                    <w:left w:val="none" w:sz="0" w:space="0" w:color="auto"/>
                    <w:bottom w:val="none" w:sz="0" w:space="0" w:color="auto"/>
                    <w:right w:val="none" w:sz="0" w:space="0" w:color="auto"/>
                  </w:divBdr>
                  <w:divsChild>
                    <w:div w:id="2016378684">
                      <w:marLeft w:val="0"/>
                      <w:marRight w:val="0"/>
                      <w:marTop w:val="0"/>
                      <w:marBottom w:val="0"/>
                      <w:divBdr>
                        <w:top w:val="none" w:sz="0" w:space="0" w:color="auto"/>
                        <w:left w:val="none" w:sz="0" w:space="0" w:color="auto"/>
                        <w:bottom w:val="none" w:sz="0" w:space="0" w:color="auto"/>
                        <w:right w:val="none" w:sz="0" w:space="0" w:color="auto"/>
                      </w:divBdr>
                      <w:divsChild>
                        <w:div w:id="841311235">
                          <w:marLeft w:val="0"/>
                          <w:marRight w:val="0"/>
                          <w:marTop w:val="0"/>
                          <w:marBottom w:val="0"/>
                          <w:divBdr>
                            <w:top w:val="none" w:sz="0" w:space="0" w:color="auto"/>
                            <w:left w:val="none" w:sz="0" w:space="0" w:color="auto"/>
                            <w:bottom w:val="none" w:sz="0" w:space="0" w:color="auto"/>
                            <w:right w:val="none" w:sz="0" w:space="0" w:color="auto"/>
                          </w:divBdr>
                          <w:divsChild>
                            <w:div w:id="2108576388">
                              <w:marLeft w:val="0"/>
                              <w:marRight w:val="0"/>
                              <w:marTop w:val="0"/>
                              <w:marBottom w:val="0"/>
                              <w:divBdr>
                                <w:top w:val="none" w:sz="0" w:space="0" w:color="auto"/>
                                <w:left w:val="none" w:sz="0" w:space="0" w:color="auto"/>
                                <w:bottom w:val="none" w:sz="0" w:space="0" w:color="auto"/>
                                <w:right w:val="none" w:sz="0" w:space="0" w:color="auto"/>
                              </w:divBdr>
                              <w:divsChild>
                                <w:div w:id="1267805270">
                                  <w:marLeft w:val="0"/>
                                  <w:marRight w:val="0"/>
                                  <w:marTop w:val="0"/>
                                  <w:marBottom w:val="0"/>
                                  <w:divBdr>
                                    <w:top w:val="none" w:sz="0" w:space="0" w:color="auto"/>
                                    <w:left w:val="none" w:sz="0" w:space="0" w:color="auto"/>
                                    <w:bottom w:val="none" w:sz="0" w:space="0" w:color="auto"/>
                                    <w:right w:val="none" w:sz="0" w:space="0" w:color="auto"/>
                                  </w:divBdr>
                                  <w:divsChild>
                                    <w:div w:id="1788966732">
                                      <w:marLeft w:val="0"/>
                                      <w:marRight w:val="0"/>
                                      <w:marTop w:val="0"/>
                                      <w:marBottom w:val="0"/>
                                      <w:divBdr>
                                        <w:top w:val="none" w:sz="0" w:space="0" w:color="auto"/>
                                        <w:left w:val="none" w:sz="0" w:space="0" w:color="auto"/>
                                        <w:bottom w:val="none" w:sz="0" w:space="0" w:color="auto"/>
                                        <w:right w:val="none" w:sz="0" w:space="0" w:color="auto"/>
                                      </w:divBdr>
                                      <w:divsChild>
                                        <w:div w:id="202836662">
                                          <w:marLeft w:val="0"/>
                                          <w:marRight w:val="0"/>
                                          <w:marTop w:val="0"/>
                                          <w:marBottom w:val="225"/>
                                          <w:divBdr>
                                            <w:top w:val="single" w:sz="6" w:space="0" w:color="E0E4E4"/>
                                            <w:left w:val="none" w:sz="0" w:space="0" w:color="auto"/>
                                            <w:bottom w:val="single" w:sz="6" w:space="0" w:color="E0E4E4"/>
                                            <w:right w:val="none" w:sz="0" w:space="0" w:color="auto"/>
                                          </w:divBdr>
                                          <w:divsChild>
                                            <w:div w:id="153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252881">
      <w:bodyDiv w:val="1"/>
      <w:marLeft w:val="0"/>
      <w:marRight w:val="0"/>
      <w:marTop w:val="0"/>
      <w:marBottom w:val="0"/>
      <w:divBdr>
        <w:top w:val="none" w:sz="0" w:space="0" w:color="auto"/>
        <w:left w:val="none" w:sz="0" w:space="0" w:color="auto"/>
        <w:bottom w:val="none" w:sz="0" w:space="0" w:color="auto"/>
        <w:right w:val="none" w:sz="0" w:space="0" w:color="auto"/>
      </w:divBdr>
      <w:divsChild>
        <w:div w:id="1584220672">
          <w:marLeft w:val="0"/>
          <w:marRight w:val="0"/>
          <w:marTop w:val="0"/>
          <w:marBottom w:val="0"/>
          <w:divBdr>
            <w:top w:val="none" w:sz="0" w:space="0" w:color="auto"/>
            <w:left w:val="none" w:sz="0" w:space="0" w:color="auto"/>
            <w:bottom w:val="none" w:sz="0" w:space="0" w:color="auto"/>
            <w:right w:val="none" w:sz="0" w:space="0" w:color="auto"/>
          </w:divBdr>
          <w:divsChild>
            <w:div w:id="1123039468">
              <w:marLeft w:val="0"/>
              <w:marRight w:val="0"/>
              <w:marTop w:val="0"/>
              <w:marBottom w:val="0"/>
              <w:divBdr>
                <w:top w:val="none" w:sz="0" w:space="0" w:color="auto"/>
                <w:left w:val="none" w:sz="0" w:space="0" w:color="auto"/>
                <w:bottom w:val="none" w:sz="0" w:space="0" w:color="auto"/>
                <w:right w:val="none" w:sz="0" w:space="0" w:color="auto"/>
              </w:divBdr>
              <w:divsChild>
                <w:div w:id="1769963287">
                  <w:marLeft w:val="0"/>
                  <w:marRight w:val="0"/>
                  <w:marTop w:val="0"/>
                  <w:marBottom w:val="0"/>
                  <w:divBdr>
                    <w:top w:val="none" w:sz="0" w:space="0" w:color="auto"/>
                    <w:left w:val="none" w:sz="0" w:space="0" w:color="auto"/>
                    <w:bottom w:val="none" w:sz="0" w:space="0" w:color="auto"/>
                    <w:right w:val="none" w:sz="0" w:space="0" w:color="auto"/>
                  </w:divBdr>
                  <w:divsChild>
                    <w:div w:id="2057073284">
                      <w:marLeft w:val="0"/>
                      <w:marRight w:val="0"/>
                      <w:marTop w:val="0"/>
                      <w:marBottom w:val="0"/>
                      <w:divBdr>
                        <w:top w:val="none" w:sz="0" w:space="0" w:color="auto"/>
                        <w:left w:val="none" w:sz="0" w:space="0" w:color="auto"/>
                        <w:bottom w:val="none" w:sz="0" w:space="0" w:color="auto"/>
                        <w:right w:val="none" w:sz="0" w:space="0" w:color="auto"/>
                      </w:divBdr>
                      <w:divsChild>
                        <w:div w:id="1390034261">
                          <w:marLeft w:val="0"/>
                          <w:marRight w:val="0"/>
                          <w:marTop w:val="0"/>
                          <w:marBottom w:val="0"/>
                          <w:divBdr>
                            <w:top w:val="none" w:sz="0" w:space="0" w:color="auto"/>
                            <w:left w:val="none" w:sz="0" w:space="0" w:color="auto"/>
                            <w:bottom w:val="none" w:sz="0" w:space="0" w:color="auto"/>
                            <w:right w:val="none" w:sz="0" w:space="0" w:color="auto"/>
                          </w:divBdr>
                          <w:divsChild>
                            <w:div w:id="1702587155">
                              <w:marLeft w:val="0"/>
                              <w:marRight w:val="0"/>
                              <w:marTop w:val="0"/>
                              <w:marBottom w:val="0"/>
                              <w:divBdr>
                                <w:top w:val="none" w:sz="0" w:space="0" w:color="auto"/>
                                <w:left w:val="none" w:sz="0" w:space="0" w:color="auto"/>
                                <w:bottom w:val="none" w:sz="0" w:space="0" w:color="auto"/>
                                <w:right w:val="none" w:sz="0" w:space="0" w:color="auto"/>
                              </w:divBdr>
                              <w:divsChild>
                                <w:div w:id="1252661529">
                                  <w:marLeft w:val="0"/>
                                  <w:marRight w:val="0"/>
                                  <w:marTop w:val="0"/>
                                  <w:marBottom w:val="0"/>
                                  <w:divBdr>
                                    <w:top w:val="none" w:sz="0" w:space="0" w:color="auto"/>
                                    <w:left w:val="none" w:sz="0" w:space="0" w:color="auto"/>
                                    <w:bottom w:val="none" w:sz="0" w:space="0" w:color="auto"/>
                                    <w:right w:val="none" w:sz="0" w:space="0" w:color="auto"/>
                                  </w:divBdr>
                                  <w:divsChild>
                                    <w:div w:id="920483560">
                                      <w:marLeft w:val="0"/>
                                      <w:marRight w:val="0"/>
                                      <w:marTop w:val="0"/>
                                      <w:marBottom w:val="0"/>
                                      <w:divBdr>
                                        <w:top w:val="none" w:sz="0" w:space="0" w:color="auto"/>
                                        <w:left w:val="none" w:sz="0" w:space="0" w:color="auto"/>
                                        <w:bottom w:val="none" w:sz="0" w:space="0" w:color="auto"/>
                                        <w:right w:val="none" w:sz="0" w:space="0" w:color="auto"/>
                                      </w:divBdr>
                                      <w:divsChild>
                                        <w:div w:id="253174234">
                                          <w:marLeft w:val="0"/>
                                          <w:marRight w:val="0"/>
                                          <w:marTop w:val="0"/>
                                          <w:marBottom w:val="225"/>
                                          <w:divBdr>
                                            <w:top w:val="single" w:sz="6" w:space="0" w:color="E0E4E4"/>
                                            <w:left w:val="none" w:sz="0" w:space="0" w:color="auto"/>
                                            <w:bottom w:val="single" w:sz="6" w:space="0" w:color="E0E4E4"/>
                                            <w:right w:val="none" w:sz="0" w:space="0" w:color="auto"/>
                                          </w:divBdr>
                                          <w:divsChild>
                                            <w:div w:id="486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316261">
      <w:bodyDiv w:val="1"/>
      <w:marLeft w:val="0"/>
      <w:marRight w:val="0"/>
      <w:marTop w:val="0"/>
      <w:marBottom w:val="0"/>
      <w:divBdr>
        <w:top w:val="none" w:sz="0" w:space="0" w:color="auto"/>
        <w:left w:val="none" w:sz="0" w:space="0" w:color="auto"/>
        <w:bottom w:val="none" w:sz="0" w:space="0" w:color="auto"/>
        <w:right w:val="none" w:sz="0" w:space="0" w:color="auto"/>
      </w:divBdr>
      <w:divsChild>
        <w:div w:id="2115324810">
          <w:marLeft w:val="0"/>
          <w:marRight w:val="0"/>
          <w:marTop w:val="0"/>
          <w:marBottom w:val="0"/>
          <w:divBdr>
            <w:top w:val="none" w:sz="0" w:space="0" w:color="auto"/>
            <w:left w:val="none" w:sz="0" w:space="0" w:color="auto"/>
            <w:bottom w:val="none" w:sz="0" w:space="0" w:color="auto"/>
            <w:right w:val="none" w:sz="0" w:space="0" w:color="auto"/>
          </w:divBdr>
          <w:divsChild>
            <w:div w:id="318967816">
              <w:marLeft w:val="0"/>
              <w:marRight w:val="0"/>
              <w:marTop w:val="0"/>
              <w:marBottom w:val="0"/>
              <w:divBdr>
                <w:top w:val="none" w:sz="0" w:space="0" w:color="auto"/>
                <w:left w:val="none" w:sz="0" w:space="0" w:color="auto"/>
                <w:bottom w:val="none" w:sz="0" w:space="0" w:color="auto"/>
                <w:right w:val="none" w:sz="0" w:space="0" w:color="auto"/>
              </w:divBdr>
              <w:divsChild>
                <w:div w:id="316501127">
                  <w:marLeft w:val="0"/>
                  <w:marRight w:val="0"/>
                  <w:marTop w:val="0"/>
                  <w:marBottom w:val="0"/>
                  <w:divBdr>
                    <w:top w:val="none" w:sz="0" w:space="0" w:color="auto"/>
                    <w:left w:val="none" w:sz="0" w:space="0" w:color="auto"/>
                    <w:bottom w:val="none" w:sz="0" w:space="0" w:color="auto"/>
                    <w:right w:val="none" w:sz="0" w:space="0" w:color="auto"/>
                  </w:divBdr>
                  <w:divsChild>
                    <w:div w:id="154229059">
                      <w:marLeft w:val="0"/>
                      <w:marRight w:val="0"/>
                      <w:marTop w:val="0"/>
                      <w:marBottom w:val="0"/>
                      <w:divBdr>
                        <w:top w:val="none" w:sz="0" w:space="0" w:color="auto"/>
                        <w:left w:val="none" w:sz="0" w:space="0" w:color="auto"/>
                        <w:bottom w:val="none" w:sz="0" w:space="0" w:color="auto"/>
                        <w:right w:val="none" w:sz="0" w:space="0" w:color="auto"/>
                      </w:divBdr>
                      <w:divsChild>
                        <w:div w:id="793212493">
                          <w:marLeft w:val="0"/>
                          <w:marRight w:val="0"/>
                          <w:marTop w:val="0"/>
                          <w:marBottom w:val="0"/>
                          <w:divBdr>
                            <w:top w:val="none" w:sz="0" w:space="0" w:color="auto"/>
                            <w:left w:val="none" w:sz="0" w:space="0" w:color="auto"/>
                            <w:bottom w:val="none" w:sz="0" w:space="0" w:color="auto"/>
                            <w:right w:val="none" w:sz="0" w:space="0" w:color="auto"/>
                          </w:divBdr>
                          <w:divsChild>
                            <w:div w:id="1066294189">
                              <w:marLeft w:val="0"/>
                              <w:marRight w:val="0"/>
                              <w:marTop w:val="0"/>
                              <w:marBottom w:val="0"/>
                              <w:divBdr>
                                <w:top w:val="none" w:sz="0" w:space="0" w:color="auto"/>
                                <w:left w:val="none" w:sz="0" w:space="0" w:color="auto"/>
                                <w:bottom w:val="none" w:sz="0" w:space="0" w:color="auto"/>
                                <w:right w:val="none" w:sz="0" w:space="0" w:color="auto"/>
                              </w:divBdr>
                              <w:divsChild>
                                <w:div w:id="670449443">
                                  <w:marLeft w:val="0"/>
                                  <w:marRight w:val="0"/>
                                  <w:marTop w:val="0"/>
                                  <w:marBottom w:val="0"/>
                                  <w:divBdr>
                                    <w:top w:val="none" w:sz="0" w:space="0" w:color="auto"/>
                                    <w:left w:val="none" w:sz="0" w:space="0" w:color="auto"/>
                                    <w:bottom w:val="none" w:sz="0" w:space="0" w:color="auto"/>
                                    <w:right w:val="none" w:sz="0" w:space="0" w:color="auto"/>
                                  </w:divBdr>
                                  <w:divsChild>
                                    <w:div w:id="1164201704">
                                      <w:marLeft w:val="0"/>
                                      <w:marRight w:val="0"/>
                                      <w:marTop w:val="0"/>
                                      <w:marBottom w:val="0"/>
                                      <w:divBdr>
                                        <w:top w:val="none" w:sz="0" w:space="0" w:color="auto"/>
                                        <w:left w:val="none" w:sz="0" w:space="0" w:color="auto"/>
                                        <w:bottom w:val="none" w:sz="0" w:space="0" w:color="auto"/>
                                        <w:right w:val="none" w:sz="0" w:space="0" w:color="auto"/>
                                      </w:divBdr>
                                      <w:divsChild>
                                        <w:div w:id="752120605">
                                          <w:marLeft w:val="0"/>
                                          <w:marRight w:val="0"/>
                                          <w:marTop w:val="0"/>
                                          <w:marBottom w:val="225"/>
                                          <w:divBdr>
                                            <w:top w:val="single" w:sz="6" w:space="0" w:color="E0E4E4"/>
                                            <w:left w:val="none" w:sz="0" w:space="0" w:color="auto"/>
                                            <w:bottom w:val="single" w:sz="6" w:space="0" w:color="E0E4E4"/>
                                            <w:right w:val="none" w:sz="0" w:space="0" w:color="auto"/>
                                          </w:divBdr>
                                          <w:divsChild>
                                            <w:div w:id="8826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dc.gov/nchs/about/major/slaits/nsch.htm" TargetMode="Externa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doe.org/accountability/accountability-reporting" TargetMode="Externa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Mothers beginning prenatal care in the first trimester  (Rate</a:t>
            </a:r>
            <a:r>
              <a:rPr lang="en-US" sz="1000" baseline="0"/>
              <a:t> per 1,000)</a:t>
            </a:r>
          </a:p>
          <a:p>
            <a:pPr>
              <a:defRPr/>
            </a:pPr>
            <a:r>
              <a:rPr lang="en-US" sz="1000" baseline="0"/>
              <a:t>Source: FloridaCHARTS (www.floridacharts.com) </a:t>
            </a:r>
            <a:r>
              <a:rPr lang="en-US" sz="1000" b="0" i="0" u="sng" strike="noStrike" baseline="0">
                <a:effectLst/>
              </a:rPr>
              <a:t> </a:t>
            </a:r>
            <a:endParaRPr lang="en-US" sz="1000"/>
          </a:p>
        </c:rich>
      </c:tx>
      <c:layout>
        <c:manualLayout>
          <c:xMode val="edge"/>
          <c:yMode val="edge"/>
          <c:x val="0.1752817574021012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Mothers Beginning Prenatal Care in the First Trimester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2009-2010</c:v>
                </c:pt>
                <c:pt idx="1">
                  <c:v>2010-2011</c:v>
                </c:pt>
                <c:pt idx="2">
                  <c:v>2011-2012</c:v>
                </c:pt>
                <c:pt idx="3">
                  <c:v>2012-2013</c:v>
                </c:pt>
                <c:pt idx="4">
                  <c:v>2013-2014</c:v>
                </c:pt>
              </c:strCache>
            </c:strRef>
          </c:cat>
          <c:val>
            <c:numRef>
              <c:f>Sheet1!$B$2:$B$6</c:f>
              <c:numCache>
                <c:formatCode>General</c:formatCode>
                <c:ptCount val="5"/>
                <c:pt idx="0">
                  <c:v>78.3</c:v>
                </c:pt>
                <c:pt idx="1">
                  <c:v>79.3</c:v>
                </c:pt>
                <c:pt idx="2">
                  <c:v>80.3</c:v>
                </c:pt>
                <c:pt idx="3">
                  <c:v>80</c:v>
                </c:pt>
                <c:pt idx="4">
                  <c:v>79.900000000000006</c:v>
                </c:pt>
              </c:numCache>
            </c:numRef>
          </c:val>
        </c:ser>
        <c:dLbls>
          <c:dLblPos val="outEnd"/>
          <c:showLegendKey val="0"/>
          <c:showVal val="1"/>
          <c:showCatName val="0"/>
          <c:showSerName val="0"/>
          <c:showPercent val="0"/>
          <c:showBubbleSize val="0"/>
        </c:dLbls>
        <c:gapWidth val="219"/>
        <c:overlap val="-27"/>
        <c:axId val="270000584"/>
        <c:axId val="275963288"/>
      </c:barChart>
      <c:catAx>
        <c:axId val="27000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963288"/>
        <c:crosses val="autoZero"/>
        <c:auto val="1"/>
        <c:lblAlgn val="ctr"/>
        <c:lblOffset val="100"/>
        <c:noMultiLvlLbl val="0"/>
      </c:catAx>
      <c:valAx>
        <c:axId val="275963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000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Teen Births</a:t>
            </a:r>
            <a:endParaRPr lang="en-US" sz="1000" baseline="0"/>
          </a:p>
          <a:p>
            <a:pPr>
              <a:defRPr/>
            </a:pPr>
            <a:r>
              <a:rPr lang="en-US" sz="1000" baseline="0"/>
              <a:t>Source: </a:t>
            </a:r>
            <a:r>
              <a:rPr lang="en-US" sz="1000" b="0" i="0" u="none" strike="noStrike" baseline="0">
                <a:effectLst/>
              </a:rPr>
              <a:t>Florida CHARTS (www.floridacharts.com) </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Age 13-14</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dLbl>
              <c:idx val="0"/>
              <c:layout>
                <c:manualLayout>
                  <c:x val="-5.5503575249574742E-2"/>
                  <c:y val="-3.31674057984131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5503575249574777E-2"/>
                  <c:y val="-3.31674057984131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5503575249574742E-2"/>
                  <c:y val="-3.31674057984132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5503575249574888E-2"/>
                  <c:y val="-3.31674057984132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5503575249574742E-2"/>
                  <c:y val="-3.3167405798413131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2009</c:v>
                </c:pt>
                <c:pt idx="1">
                  <c:v>2010</c:v>
                </c:pt>
                <c:pt idx="2">
                  <c:v>2011</c:v>
                </c:pt>
                <c:pt idx="3">
                  <c:v>2012</c:v>
                </c:pt>
                <c:pt idx="4">
                  <c:v>2013</c:v>
                </c:pt>
              </c:numCache>
            </c:numRef>
          </c:cat>
          <c:val>
            <c:numRef>
              <c:f>Sheet1!$B$2:$B$6</c:f>
              <c:numCache>
                <c:formatCode>#,##0.0</c:formatCode>
                <c:ptCount val="5"/>
                <c:pt idx="0">
                  <c:v>1.1000000000000001</c:v>
                </c:pt>
                <c:pt idx="1">
                  <c:v>1.1000000000000001</c:v>
                </c:pt>
                <c:pt idx="2">
                  <c:v>0.9</c:v>
                </c:pt>
                <c:pt idx="3">
                  <c:v>0.8</c:v>
                </c:pt>
                <c:pt idx="4">
                  <c:v>0.7</c:v>
                </c:pt>
              </c:numCache>
            </c:numRef>
          </c:val>
          <c:smooth val="0"/>
        </c:ser>
        <c:ser>
          <c:idx val="1"/>
          <c:order val="1"/>
          <c:tx>
            <c:strRef>
              <c:f>Sheet1!$C$1</c:f>
              <c:strCache>
                <c:ptCount val="1"/>
                <c:pt idx="0">
                  <c:v>Age 15-17</c:v>
                </c:pt>
              </c:strCache>
            </c:strRef>
          </c:tx>
          <c:spPr>
            <a:ln w="28575" cap="rnd">
              <a:solidFill>
                <a:srgbClr val="70AD47"/>
              </a:solidFill>
              <a:round/>
            </a:ln>
            <a:effectLst/>
          </c:spPr>
          <c:marker>
            <c:symbol val="circle"/>
            <c:size val="5"/>
            <c:spPr>
              <a:solidFill>
                <a:srgbClr val="70AD47"/>
              </a:solidFill>
              <a:ln w="9525">
                <a:solidFill>
                  <a:srgbClr val="70AD47"/>
                </a:solidFill>
              </a:ln>
              <a:effectLst/>
            </c:spPr>
          </c:marker>
          <c:dLbls>
            <c:dLbl>
              <c:idx val="0"/>
              <c:layout>
                <c:manualLayout>
                  <c:x val="-6.832859968750242E-2"/>
                  <c:y val="-3.31674057984131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4418531261304979E-2"/>
                  <c:y val="-2.29502921330236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441853126130502E-2"/>
                  <c:y val="-2.80588489657184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5.1065493646138806E-2"/>
                  <c:y val="-2.805884896571836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6.4418531261304951E-2"/>
                  <c:y val="-3.316740579841313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17.7</c:v>
                </c:pt>
                <c:pt idx="1">
                  <c:v>15.2</c:v>
                </c:pt>
                <c:pt idx="2">
                  <c:v>13.4</c:v>
                </c:pt>
                <c:pt idx="3">
                  <c:v>12</c:v>
                </c:pt>
                <c:pt idx="4">
                  <c:v>10.5</c:v>
                </c:pt>
              </c:numCache>
            </c:numRef>
          </c:val>
          <c:smooth val="0"/>
        </c:ser>
        <c:ser>
          <c:idx val="2"/>
          <c:order val="2"/>
          <c:tx>
            <c:strRef>
              <c:f>Sheet1!$D$1</c:f>
              <c:strCache>
                <c:ptCount val="1"/>
                <c:pt idx="0">
                  <c:v>Age 18-19</c:v>
                </c:pt>
              </c:strCache>
            </c:strRef>
          </c:tx>
          <c:spPr>
            <a:ln w="28575" cap="rnd">
              <a:solidFill>
                <a:srgbClr val="ED7D31"/>
              </a:solidFill>
              <a:round/>
            </a:ln>
            <a:effectLst/>
          </c:spPr>
          <c:marker>
            <c:symbol val="circle"/>
            <c:size val="5"/>
            <c:spPr>
              <a:solidFill>
                <a:srgbClr val="ED7D31"/>
              </a:solidFill>
              <a:ln w="9525">
                <a:solidFill>
                  <a:srgbClr val="ED7D3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pt idx="0">
                  <c:v>66.900000000000006</c:v>
                </c:pt>
                <c:pt idx="1">
                  <c:v>58.2</c:v>
                </c:pt>
                <c:pt idx="2">
                  <c:v>52.8</c:v>
                </c:pt>
                <c:pt idx="3">
                  <c:v>50</c:v>
                </c:pt>
                <c:pt idx="4">
                  <c:v>43.7</c:v>
                </c:pt>
              </c:numCache>
            </c:numRef>
          </c:val>
          <c:smooth val="0"/>
        </c:ser>
        <c:ser>
          <c:idx val="3"/>
          <c:order val="3"/>
          <c:tx>
            <c:strRef>
              <c:f>Sheet1!$E$1</c:f>
              <c:strCache>
                <c:ptCount val="1"/>
                <c:pt idx="0">
                  <c:v>All Teens</c:v>
                </c:pt>
              </c:strCache>
            </c:strRef>
          </c:tx>
          <c:spPr>
            <a:ln w="28575" cap="rnd">
              <a:solidFill>
                <a:srgbClr val="5B9BD5"/>
              </a:solidFill>
              <a:round/>
            </a:ln>
            <a:effectLst/>
          </c:spPr>
          <c:marker>
            <c:symbol val="circle"/>
            <c:size val="5"/>
            <c:spPr>
              <a:solidFill>
                <a:srgbClr val="5B9BD5"/>
              </a:solidFill>
              <a:ln w="9525">
                <a:solidFill>
                  <a:srgbClr val="5B9BD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pt idx="0">
                  <c:v>27.2</c:v>
                </c:pt>
                <c:pt idx="1">
                  <c:v>23.9</c:v>
                </c:pt>
                <c:pt idx="2">
                  <c:v>21.4</c:v>
                </c:pt>
                <c:pt idx="3">
                  <c:v>20</c:v>
                </c:pt>
                <c:pt idx="4">
                  <c:v>17.399999999999999</c:v>
                </c:pt>
              </c:numCache>
            </c:numRef>
          </c:val>
          <c:smooth val="0"/>
        </c:ser>
        <c:dLbls>
          <c:showLegendKey val="0"/>
          <c:showVal val="1"/>
          <c:showCatName val="0"/>
          <c:showSerName val="0"/>
          <c:showPercent val="0"/>
          <c:showBubbleSize val="0"/>
        </c:dLbls>
        <c:marker val="1"/>
        <c:smooth val="0"/>
        <c:axId val="278973016"/>
        <c:axId val="278205176"/>
      </c:lineChart>
      <c:catAx>
        <c:axId val="278973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205176"/>
        <c:crosses val="autoZero"/>
        <c:auto val="1"/>
        <c:lblAlgn val="ctr"/>
        <c:lblOffset val="100"/>
        <c:noMultiLvlLbl val="0"/>
      </c:catAx>
      <c:valAx>
        <c:axId val="278205176"/>
        <c:scaling>
          <c:orientation val="minMax"/>
          <c:max val="7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73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Domestic Violence</a:t>
            </a:r>
            <a:endParaRPr lang="en-US" sz="1000" baseline="0"/>
          </a:p>
          <a:p>
            <a:pPr>
              <a:defRPr/>
            </a:pPr>
            <a:r>
              <a:rPr lang="en-US" sz="1000" baseline="0"/>
              <a:t>Source: </a:t>
            </a:r>
            <a:r>
              <a:rPr lang="en-US" sz="1000" b="0" i="0" u="none" strike="noStrike" baseline="0">
                <a:effectLst/>
              </a:rPr>
              <a:t>Florida Statistical Analysis Center: FDLE (www.fdle.state.fl.us) </a:t>
            </a:r>
            <a:endParaRPr lang="en-US" sz="1000"/>
          </a:p>
        </c:rich>
      </c:tx>
      <c:layout>
        <c:manualLayout>
          <c:xMode val="edge"/>
          <c:yMode val="edge"/>
          <c:x val="0.11353853495585779"/>
          <c:y val="3.252032520325203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55086552597347"/>
          <c:y val="0.2567575481636224"/>
          <c:w val="0.84543838178585451"/>
          <c:h val="0.63803488849608081"/>
        </c:manualLayout>
      </c:layout>
      <c:barChart>
        <c:barDir val="col"/>
        <c:grouping val="clustered"/>
        <c:varyColors val="0"/>
        <c:ser>
          <c:idx val="0"/>
          <c:order val="0"/>
          <c:tx>
            <c:strRef>
              <c:f>Sheet1!$B$1</c:f>
              <c:strCache>
                <c:ptCount val="1"/>
                <c:pt idx="0">
                  <c:v>Column4</c:v>
                </c:pt>
              </c:strCache>
            </c:strRef>
          </c:tx>
          <c:spPr>
            <a:solidFill>
              <a:srgbClr val="5B9BD5"/>
            </a:solidFill>
            <a:ln>
              <a:solidFill>
                <a:srgbClr val="5B9BD5"/>
              </a:solidFill>
            </a:ln>
            <a:effectLst/>
          </c:spPr>
          <c:invertIfNegative val="0"/>
          <c:dLbls>
            <c:dLbl>
              <c:idx val="0"/>
              <c:layout>
                <c:manualLayout>
                  <c:x val="-4.6726857090077815E-3"/>
                  <c:y val="-5.95639830735443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261728281032317E-4"/>
                  <c:y val="-5.95639830735447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261728281039483E-4"/>
                  <c:y val="-5.956398307354437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26172828102515E-4"/>
                  <c:y val="-1.421250915064188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726857090077815E-3"/>
                  <c:y val="-5.9563983073544378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2009</c:v>
                </c:pt>
                <c:pt idx="1">
                  <c:v>2010</c:v>
                </c:pt>
                <c:pt idx="2">
                  <c:v>2011</c:v>
                </c:pt>
                <c:pt idx="3">
                  <c:v>2012</c:v>
                </c:pt>
                <c:pt idx="4">
                  <c:v>2013</c:v>
                </c:pt>
              </c:numCache>
            </c:numRef>
          </c:cat>
          <c:val>
            <c:numRef>
              <c:f>Sheet1!$B$2:$B$6</c:f>
              <c:numCache>
                <c:formatCode>#,##0.0</c:formatCode>
                <c:ptCount val="5"/>
                <c:pt idx="0">
                  <c:v>622.9</c:v>
                </c:pt>
                <c:pt idx="1">
                  <c:v>602.4</c:v>
                </c:pt>
                <c:pt idx="2">
                  <c:v>589.79999999999995</c:v>
                </c:pt>
                <c:pt idx="3">
                  <c:v>567.4</c:v>
                </c:pt>
                <c:pt idx="4">
                  <c:v>559.20000000000005</c:v>
                </c:pt>
              </c:numCache>
            </c:numRef>
          </c:val>
        </c:ser>
        <c:ser>
          <c:idx val="1"/>
          <c:order val="1"/>
          <c:tx>
            <c:strRef>
              <c:f>Sheet1!$C$1</c:f>
              <c:strCache>
                <c:ptCount val="1"/>
                <c:pt idx="0">
                  <c:v>Column1</c:v>
                </c:pt>
              </c:strCache>
            </c:strRef>
          </c:tx>
          <c:spPr>
            <a:solidFill>
              <a:schemeClr val="accent2"/>
            </a:solidFill>
            <a:ln>
              <a:solidFill>
                <a:srgbClr val="70AD47"/>
              </a:solidFill>
            </a:ln>
            <a:effectLst/>
          </c:spPr>
          <c:invertIfNegative val="0"/>
          <c:dLbls>
            <c:dLbl>
              <c:idx val="0"/>
              <c:layout>
                <c:manualLayout>
                  <c:x val="-6.832859968750242E-2"/>
                  <c:y val="-3.31674057984131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418531261304979E-2"/>
                  <c:y val="-2.29502921330236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41853126130502E-2"/>
                  <c:y val="-2.80588489657184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065493646138806E-2"/>
                  <c:y val="-2.805884896571836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418531261304951E-2"/>
                  <c:y val="-3.31674057984131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numCache>
            </c:numRef>
          </c:val>
        </c:ser>
        <c:ser>
          <c:idx val="2"/>
          <c:order val="2"/>
          <c:tx>
            <c:strRef>
              <c:f>Sheet1!$D$1</c:f>
              <c:strCache>
                <c:ptCount val="1"/>
                <c:pt idx="0">
                  <c:v>Column2</c:v>
                </c:pt>
              </c:strCache>
            </c:strRef>
          </c:tx>
          <c:spPr>
            <a:solidFill>
              <a:schemeClr val="accent3"/>
            </a:solidFill>
            <a:ln>
              <a:solidFill>
                <a:srgbClr val="ED7D3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numCache>
            </c:numRef>
          </c:val>
        </c:ser>
        <c:ser>
          <c:idx val="3"/>
          <c:order val="3"/>
          <c:tx>
            <c:strRef>
              <c:f>Sheet1!$E$1</c:f>
              <c:strCache>
                <c:ptCount val="1"/>
                <c:pt idx="0">
                  <c:v>Column3</c:v>
                </c:pt>
              </c:strCache>
            </c:strRef>
          </c:tx>
          <c:spPr>
            <a:solidFill>
              <a:schemeClr val="accent4"/>
            </a:solidFill>
            <a:ln>
              <a:solidFill>
                <a:srgbClr val="5B9BD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Sheet1!$E$2:$E$6</c:f>
              <c:numCache>
                <c:formatCode>General</c:formatCode>
                <c:ptCount val="5"/>
              </c:numCache>
            </c:numRef>
          </c:val>
        </c:ser>
        <c:dLbls>
          <c:showLegendKey val="0"/>
          <c:showVal val="1"/>
          <c:showCatName val="0"/>
          <c:showSerName val="0"/>
          <c:showPercent val="0"/>
          <c:showBubbleSize val="0"/>
        </c:dLbls>
        <c:gapWidth val="500"/>
        <c:overlap val="69"/>
        <c:axId val="278205960"/>
        <c:axId val="278206352"/>
      </c:barChart>
      <c:catAx>
        <c:axId val="278205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206352"/>
        <c:crosses val="autoZero"/>
        <c:auto val="1"/>
        <c:lblAlgn val="ctr"/>
        <c:lblOffset val="100"/>
        <c:noMultiLvlLbl val="0"/>
      </c:catAx>
      <c:valAx>
        <c:axId val="278206352"/>
        <c:scaling>
          <c:orientation val="minMax"/>
          <c:max val="640"/>
          <c:min val="52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205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Homeless Children</a:t>
            </a:r>
            <a:endParaRPr lang="en-US" sz="1000" baseline="0"/>
          </a:p>
          <a:p>
            <a:pPr>
              <a:defRPr/>
            </a:pPr>
            <a:r>
              <a:rPr lang="en-US" sz="1000" baseline="0"/>
              <a:t>Source: </a:t>
            </a:r>
            <a:r>
              <a:rPr lang="en-US" sz="1000" b="0" i="0" u="none" strike="noStrike" baseline="0">
                <a:effectLst/>
              </a:rPr>
              <a:t>Florida Department of Education - Survey 5 Final Homeless Counts (www.fldoe.org/bsa/title1/titlex.asp) </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55086552597347"/>
          <c:y val="0.30745466702593732"/>
          <c:w val="0.84543838178585451"/>
          <c:h val="0.58733770445994626"/>
        </c:manualLayout>
      </c:layout>
      <c:barChart>
        <c:barDir val="col"/>
        <c:grouping val="clustered"/>
        <c:varyColors val="0"/>
        <c:ser>
          <c:idx val="0"/>
          <c:order val="0"/>
          <c:tx>
            <c:strRef>
              <c:f>Sheet1!$B$1</c:f>
              <c:strCache>
                <c:ptCount val="1"/>
                <c:pt idx="0">
                  <c:v>Column4</c:v>
                </c:pt>
              </c:strCache>
            </c:strRef>
          </c:tx>
          <c:spPr>
            <a:solidFill>
              <a:srgbClr val="5B9BD5"/>
            </a:solidFill>
            <a:ln>
              <a:solidFill>
                <a:srgbClr val="5B9BD5"/>
              </a:solidFill>
            </a:ln>
            <a:effectLst/>
          </c:spPr>
          <c:invertIfNegative val="0"/>
          <c:dLbls>
            <c:dLbl>
              <c:idx val="0"/>
              <c:layout>
                <c:manualLayout>
                  <c:x val="-4.6726857090077815E-3"/>
                  <c:y val="-5.95639830735443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261728281032317E-4"/>
                  <c:y val="-5.95639830735447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6261728281039483E-4"/>
                  <c:y val="-5.9563983073544378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626172828102515E-4"/>
                  <c:y val="-1.4212509150641885E-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2009-10</c:v>
                </c:pt>
                <c:pt idx="1">
                  <c:v>2010-11</c:v>
                </c:pt>
                <c:pt idx="2">
                  <c:v>2011-12</c:v>
                </c:pt>
                <c:pt idx="3">
                  <c:v>2012-13</c:v>
                </c:pt>
              </c:strCache>
            </c:strRef>
          </c:cat>
          <c:val>
            <c:numRef>
              <c:f>Sheet1!$B$2:$B$5</c:f>
              <c:numCache>
                <c:formatCode>#,##0.0</c:formatCode>
                <c:ptCount val="4"/>
                <c:pt idx="0">
                  <c:v>49.1</c:v>
                </c:pt>
                <c:pt idx="1">
                  <c:v>56.6</c:v>
                </c:pt>
                <c:pt idx="2">
                  <c:v>63.6</c:v>
                </c:pt>
                <c:pt idx="3">
                  <c:v>70.2</c:v>
                </c:pt>
              </c:numCache>
            </c:numRef>
          </c:val>
        </c:ser>
        <c:ser>
          <c:idx val="1"/>
          <c:order val="1"/>
          <c:tx>
            <c:strRef>
              <c:f>Sheet1!$C$1</c:f>
              <c:strCache>
                <c:ptCount val="1"/>
                <c:pt idx="0">
                  <c:v>Column1</c:v>
                </c:pt>
              </c:strCache>
            </c:strRef>
          </c:tx>
          <c:spPr>
            <a:solidFill>
              <a:schemeClr val="accent2"/>
            </a:solidFill>
            <a:ln>
              <a:solidFill>
                <a:srgbClr val="70AD47"/>
              </a:solidFill>
            </a:ln>
            <a:effectLst/>
          </c:spPr>
          <c:invertIfNegative val="0"/>
          <c:dLbls>
            <c:dLbl>
              <c:idx val="0"/>
              <c:layout>
                <c:manualLayout>
                  <c:x val="-6.832859968750242E-2"/>
                  <c:y val="-3.31674057984131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4418531261304979E-2"/>
                  <c:y val="-2.295029213302360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41853126130502E-2"/>
                  <c:y val="-2.805884896571846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1065493646138806E-2"/>
                  <c:y val="-2.80588489657183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2009-10</c:v>
                </c:pt>
                <c:pt idx="1">
                  <c:v>2010-11</c:v>
                </c:pt>
                <c:pt idx="2">
                  <c:v>2011-12</c:v>
                </c:pt>
                <c:pt idx="3">
                  <c:v>2012-13</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solidFill>
            <a:ln>
              <a:solidFill>
                <a:srgbClr val="ED7D3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2009-10</c:v>
                </c:pt>
                <c:pt idx="1">
                  <c:v>2010-11</c:v>
                </c:pt>
                <c:pt idx="2">
                  <c:v>2011-12</c:v>
                </c:pt>
                <c:pt idx="3">
                  <c:v>2012-13</c:v>
                </c:pt>
              </c:strCache>
            </c:strRef>
          </c:cat>
          <c:val>
            <c:numRef>
              <c:f>Sheet1!$D$2:$D$5</c:f>
              <c:numCache>
                <c:formatCode>General</c:formatCode>
                <c:ptCount val="4"/>
              </c:numCache>
            </c:numRef>
          </c:val>
        </c:ser>
        <c:ser>
          <c:idx val="3"/>
          <c:order val="3"/>
          <c:tx>
            <c:strRef>
              <c:f>Sheet1!$E$1</c:f>
              <c:strCache>
                <c:ptCount val="1"/>
                <c:pt idx="0">
                  <c:v>Column3</c:v>
                </c:pt>
              </c:strCache>
            </c:strRef>
          </c:tx>
          <c:spPr>
            <a:solidFill>
              <a:schemeClr val="accent4"/>
            </a:solidFill>
            <a:ln>
              <a:solidFill>
                <a:srgbClr val="5B9BD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2009-10</c:v>
                </c:pt>
                <c:pt idx="1">
                  <c:v>2010-11</c:v>
                </c:pt>
                <c:pt idx="2">
                  <c:v>2011-12</c:v>
                </c:pt>
                <c:pt idx="3">
                  <c:v>2012-13</c:v>
                </c:pt>
              </c:strCache>
            </c:strRef>
          </c:cat>
          <c:val>
            <c:numRef>
              <c:f>Sheet1!$E$2:$E$5</c:f>
              <c:numCache>
                <c:formatCode>General</c:formatCode>
                <c:ptCount val="4"/>
              </c:numCache>
            </c:numRef>
          </c:val>
        </c:ser>
        <c:dLbls>
          <c:showLegendKey val="0"/>
          <c:showVal val="1"/>
          <c:showCatName val="0"/>
          <c:showSerName val="0"/>
          <c:showPercent val="0"/>
          <c:showBubbleSize val="0"/>
        </c:dLbls>
        <c:gapWidth val="500"/>
        <c:overlap val="69"/>
        <c:axId val="401772576"/>
        <c:axId val="401772968"/>
      </c:barChart>
      <c:catAx>
        <c:axId val="40177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72968"/>
        <c:crosses val="autoZero"/>
        <c:auto val="1"/>
        <c:lblAlgn val="ctr"/>
        <c:lblOffset val="100"/>
        <c:noMultiLvlLbl val="0"/>
      </c:catAx>
      <c:valAx>
        <c:axId val="401772968"/>
        <c:scaling>
          <c:orientation val="minMax"/>
          <c:max val="80"/>
          <c:min val="3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7257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Children in Supportive Neighborhoods</a:t>
            </a:r>
            <a:endParaRPr lang="en-US" sz="1000" baseline="0"/>
          </a:p>
          <a:p>
            <a:pPr>
              <a:defRPr/>
            </a:pPr>
            <a:r>
              <a:rPr lang="en-US" sz="1000" baseline="0"/>
              <a:t>Source: National Survey of Children's Health (http://childhealthdata.org)</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2003</c:v>
                </c:pt>
                <c:pt idx="1">
                  <c:v>2007</c:v>
                </c:pt>
                <c:pt idx="2">
                  <c:v>2011</c:v>
                </c:pt>
              </c:numCache>
            </c:numRef>
          </c:cat>
          <c:val>
            <c:numRef>
              <c:f>Sheet1!$B$2:$B$4</c:f>
              <c:numCache>
                <c:formatCode>0.0%</c:formatCode>
                <c:ptCount val="3"/>
                <c:pt idx="0">
                  <c:v>0.77200000000000002</c:v>
                </c:pt>
                <c:pt idx="1">
                  <c:v>0.80600000000000005</c:v>
                </c:pt>
                <c:pt idx="2">
                  <c:v>0.76200000000000001</c:v>
                </c:pt>
              </c:numCache>
            </c:numRef>
          </c:val>
        </c:ser>
        <c:dLbls>
          <c:showLegendKey val="0"/>
          <c:showVal val="0"/>
          <c:showCatName val="0"/>
          <c:showSerName val="0"/>
          <c:showPercent val="0"/>
          <c:showBubbleSize val="0"/>
        </c:dLbls>
        <c:gapWidth val="219"/>
        <c:overlap val="-27"/>
        <c:axId val="401773752"/>
        <c:axId val="401774144"/>
      </c:barChart>
      <c:catAx>
        <c:axId val="40177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74144"/>
        <c:crosses val="autoZero"/>
        <c:auto val="1"/>
        <c:lblAlgn val="ctr"/>
        <c:lblOffset val="100"/>
        <c:noMultiLvlLbl val="0"/>
      </c:catAx>
      <c:valAx>
        <c:axId val="4017741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73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Children with</a:t>
            </a:r>
            <a:r>
              <a:rPr lang="en-US" sz="1000" baseline="0"/>
              <a:t> health insurance</a:t>
            </a:r>
          </a:p>
          <a:p>
            <a:pPr>
              <a:defRPr/>
            </a:pPr>
            <a:r>
              <a:rPr lang="en-US" sz="1000" baseline="0"/>
              <a:t>Source: KIDS COUNT (www.kidscount.org) </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2008</c:v>
                </c:pt>
                <c:pt idx="1">
                  <c:v>2009</c:v>
                </c:pt>
                <c:pt idx="2">
                  <c:v>2010</c:v>
                </c:pt>
                <c:pt idx="3">
                  <c:v>2011</c:v>
                </c:pt>
                <c:pt idx="4">
                  <c:v>2012</c:v>
                </c:pt>
              </c:numCache>
            </c:numRef>
          </c:cat>
          <c:val>
            <c:numRef>
              <c:f>Sheet1!$B$2:$B$6</c:f>
              <c:numCache>
                <c:formatCode>0%</c:formatCode>
                <c:ptCount val="5"/>
                <c:pt idx="0">
                  <c:v>0.82</c:v>
                </c:pt>
                <c:pt idx="1">
                  <c:v>0.85</c:v>
                </c:pt>
                <c:pt idx="2">
                  <c:v>0.87</c:v>
                </c:pt>
                <c:pt idx="3">
                  <c:v>0.88</c:v>
                </c:pt>
                <c:pt idx="4">
                  <c:v>0.89</c:v>
                </c:pt>
              </c:numCache>
            </c:numRef>
          </c:val>
        </c:ser>
        <c:dLbls>
          <c:dLblPos val="outEnd"/>
          <c:showLegendKey val="0"/>
          <c:showVal val="1"/>
          <c:showCatName val="0"/>
          <c:showSerName val="0"/>
          <c:showPercent val="0"/>
          <c:showBubbleSize val="0"/>
        </c:dLbls>
        <c:gapWidth val="219"/>
        <c:overlap val="-27"/>
        <c:axId val="275793400"/>
        <c:axId val="275793792"/>
      </c:barChart>
      <c:catAx>
        <c:axId val="27579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793792"/>
        <c:crosses val="autoZero"/>
        <c:auto val="1"/>
        <c:lblAlgn val="ctr"/>
        <c:lblOffset val="100"/>
        <c:noMultiLvlLbl val="0"/>
      </c:catAx>
      <c:valAx>
        <c:axId val="27579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793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Children with a medical</a:t>
            </a:r>
            <a:r>
              <a:rPr lang="en-US" sz="1000" baseline="0"/>
              <a:t> home</a:t>
            </a:r>
          </a:p>
          <a:p>
            <a:pPr>
              <a:defRPr/>
            </a:pPr>
            <a:r>
              <a:rPr lang="en-US" sz="1000" baseline="0"/>
              <a:t>Source: National Survey of Children's Health (http://childhealthdata.org)</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2003</c:v>
                </c:pt>
                <c:pt idx="1">
                  <c:v>2007</c:v>
                </c:pt>
                <c:pt idx="2">
                  <c:v>2011</c:v>
                </c:pt>
              </c:numCache>
            </c:numRef>
          </c:cat>
          <c:val>
            <c:numRef>
              <c:f>Sheet1!$B$2:$B$4</c:f>
              <c:numCache>
                <c:formatCode>0.00%</c:formatCode>
                <c:ptCount val="3"/>
                <c:pt idx="0" formatCode="0%">
                  <c:v>0.43</c:v>
                </c:pt>
                <c:pt idx="1">
                  <c:v>0.56799999999999995</c:v>
                </c:pt>
                <c:pt idx="2">
                  <c:v>0.504</c:v>
                </c:pt>
              </c:numCache>
            </c:numRef>
          </c:val>
        </c:ser>
        <c:dLbls>
          <c:showLegendKey val="0"/>
          <c:showVal val="0"/>
          <c:showCatName val="0"/>
          <c:showSerName val="0"/>
          <c:showPercent val="0"/>
          <c:showBubbleSize val="0"/>
        </c:dLbls>
        <c:gapWidth val="219"/>
        <c:overlap val="-27"/>
        <c:axId val="275794576"/>
        <c:axId val="275794968"/>
      </c:barChart>
      <c:catAx>
        <c:axId val="27579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794968"/>
        <c:crosses val="autoZero"/>
        <c:auto val="1"/>
        <c:lblAlgn val="ctr"/>
        <c:lblOffset val="100"/>
        <c:noMultiLvlLbl val="0"/>
      </c:catAx>
      <c:valAx>
        <c:axId val="2757949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79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Birth</a:t>
            </a:r>
            <a:r>
              <a:rPr lang="en-US" sz="1000" baseline="0"/>
              <a:t> to women with fewer than 12 years of education (rate per 1,000 births)</a:t>
            </a:r>
          </a:p>
          <a:p>
            <a:pPr>
              <a:defRPr/>
            </a:pPr>
            <a:r>
              <a:rPr lang="en-US" sz="1000" baseline="0"/>
              <a:t>Source: Florida CHARTS (www.floridacharts.com)</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w="3175">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187</c:v>
                </c:pt>
                <c:pt idx="1">
                  <c:v>171</c:v>
                </c:pt>
                <c:pt idx="2">
                  <c:v>160</c:v>
                </c:pt>
                <c:pt idx="3">
                  <c:v>152</c:v>
                </c:pt>
                <c:pt idx="4">
                  <c:v>143</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2009</c:v>
                </c:pt>
                <c:pt idx="1">
                  <c:v>2010</c:v>
                </c:pt>
                <c:pt idx="2">
                  <c:v>2011</c:v>
                </c:pt>
                <c:pt idx="3">
                  <c:v>2012</c:v>
                </c:pt>
                <c:pt idx="4">
                  <c:v>2013</c:v>
                </c:pt>
              </c:numCache>
            </c:numRef>
          </c:cat>
          <c:val>
            <c:numRef>
              <c:f>Sheet1!$D$2:$D$6</c:f>
              <c:numCache>
                <c:formatCode>General</c:formatCode>
                <c:ptCount val="5"/>
              </c:numCache>
            </c:numRef>
          </c:val>
        </c:ser>
        <c:dLbls>
          <c:dLblPos val="outEnd"/>
          <c:showLegendKey val="0"/>
          <c:showVal val="1"/>
          <c:showCatName val="0"/>
          <c:showSerName val="0"/>
          <c:showPercent val="0"/>
          <c:showBubbleSize val="0"/>
        </c:dLbls>
        <c:gapWidth val="219"/>
        <c:overlap val="54"/>
        <c:axId val="401726736"/>
        <c:axId val="401727128"/>
      </c:barChart>
      <c:catAx>
        <c:axId val="40172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27128"/>
        <c:crosses val="autoZero"/>
        <c:auto val="1"/>
        <c:lblAlgn val="ctr"/>
        <c:lblOffset val="100"/>
        <c:noMultiLvlLbl val="0"/>
      </c:catAx>
      <c:valAx>
        <c:axId val="401727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2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Children</a:t>
            </a:r>
            <a:r>
              <a:rPr lang="en-US" sz="1000" baseline="0"/>
              <a:t> who are read to by their parents or relative caregivers</a:t>
            </a:r>
          </a:p>
          <a:p>
            <a:pPr>
              <a:defRPr/>
            </a:pPr>
            <a:r>
              <a:rPr lang="en-US" sz="1000" baseline="0"/>
              <a:t>Source: National Survey of Children's Health (http://childhealthdata.org)</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2003</c:v>
                </c:pt>
                <c:pt idx="1">
                  <c:v>2007</c:v>
                </c:pt>
                <c:pt idx="2">
                  <c:v>2011</c:v>
                </c:pt>
                <c:pt idx="3">
                  <c:v>2012</c:v>
                </c:pt>
              </c:numCache>
            </c:numRef>
          </c:cat>
          <c:val>
            <c:numRef>
              <c:f>Sheet1!$B$2:$B$5</c:f>
              <c:numCache>
                <c:formatCode>0.00%</c:formatCode>
                <c:ptCount val="4"/>
                <c:pt idx="0">
                  <c:v>0.42899999999999999</c:v>
                </c:pt>
                <c:pt idx="1">
                  <c:v>0.47099999999999997</c:v>
                </c:pt>
                <c:pt idx="2">
                  <c:v>0.42599999999999999</c:v>
                </c:pt>
                <c:pt idx="3">
                  <c:v>0.47099999999999997</c:v>
                </c:pt>
              </c:numCache>
            </c:numRef>
          </c:val>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2003</c:v>
                </c:pt>
                <c:pt idx="1">
                  <c:v>2007</c:v>
                </c:pt>
                <c:pt idx="2">
                  <c:v>2011</c:v>
                </c:pt>
                <c:pt idx="3">
                  <c:v>2012</c:v>
                </c:pt>
              </c:numCache>
            </c:num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2003</c:v>
                </c:pt>
                <c:pt idx="1">
                  <c:v>2007</c:v>
                </c:pt>
                <c:pt idx="2">
                  <c:v>2011</c:v>
                </c:pt>
                <c:pt idx="3">
                  <c:v>2012</c:v>
                </c:pt>
              </c:numCache>
            </c:numRef>
          </c:cat>
          <c:val>
            <c:numRef>
              <c:f>Sheet1!$D$2:$D$5</c:f>
              <c:numCache>
                <c:formatCode>General</c:formatCode>
                <c:ptCount val="4"/>
              </c:numCache>
            </c:numRef>
          </c:val>
        </c:ser>
        <c:dLbls>
          <c:dLblPos val="outEnd"/>
          <c:showLegendKey val="0"/>
          <c:showVal val="1"/>
          <c:showCatName val="0"/>
          <c:showSerName val="0"/>
          <c:showPercent val="0"/>
          <c:showBubbleSize val="0"/>
        </c:dLbls>
        <c:gapWidth val="220"/>
        <c:overlap val="45"/>
        <c:axId val="401727912"/>
        <c:axId val="277408728"/>
      </c:barChart>
      <c:catAx>
        <c:axId val="401727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408728"/>
        <c:crosses val="autoZero"/>
        <c:auto val="1"/>
        <c:lblAlgn val="ctr"/>
        <c:lblOffset val="100"/>
        <c:noMultiLvlLbl val="0"/>
      </c:catAx>
      <c:valAx>
        <c:axId val="277408728"/>
        <c:scaling>
          <c:orientation val="minMax"/>
          <c:min val="0.4"/>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727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Children</a:t>
            </a:r>
            <a:r>
              <a:rPr lang="en-US" sz="1000" baseline="0"/>
              <a:t> whose Kindergarten Entry Assessment Scores Show they are Ready for School</a:t>
            </a:r>
          </a:p>
          <a:p>
            <a:pPr>
              <a:defRPr/>
            </a:pPr>
            <a:r>
              <a:rPr lang="en-US" sz="1000" baseline="0"/>
              <a:t>Source: FOEL, VPK Readiness Rate Data</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2008-09</c:v>
                </c:pt>
                <c:pt idx="1">
                  <c:v>2009-10</c:v>
                </c:pt>
                <c:pt idx="2">
                  <c:v>2010-11</c:v>
                </c:pt>
                <c:pt idx="3">
                  <c:v>2011-12</c:v>
                </c:pt>
                <c:pt idx="4">
                  <c:v>2012-13</c:v>
                </c:pt>
              </c:strCache>
            </c:strRef>
          </c:cat>
          <c:val>
            <c:numRef>
              <c:f>Sheet1!$B$2:$B$6</c:f>
              <c:numCache>
                <c:formatCode>0.0%</c:formatCode>
                <c:ptCount val="5"/>
                <c:pt idx="0">
                  <c:v>0.71299999999999997</c:v>
                </c:pt>
                <c:pt idx="1">
                  <c:v>0.74099999999999999</c:v>
                </c:pt>
                <c:pt idx="2">
                  <c:v>0.76900000000000002</c:v>
                </c:pt>
                <c:pt idx="3">
                  <c:v>0.79400000000000004</c:v>
                </c:pt>
                <c:pt idx="4">
                  <c:v>0.81200000000000006</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2008-09</c:v>
                </c:pt>
                <c:pt idx="1">
                  <c:v>2009-10</c:v>
                </c:pt>
                <c:pt idx="2">
                  <c:v>2010-11</c:v>
                </c:pt>
                <c:pt idx="3">
                  <c:v>2011-12</c:v>
                </c:pt>
                <c:pt idx="4">
                  <c:v>2012-13</c:v>
                </c:pt>
              </c:strCache>
            </c:str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2008-09</c:v>
                </c:pt>
                <c:pt idx="1">
                  <c:v>2009-10</c:v>
                </c:pt>
                <c:pt idx="2">
                  <c:v>2010-11</c:v>
                </c:pt>
                <c:pt idx="3">
                  <c:v>2011-12</c:v>
                </c:pt>
                <c:pt idx="4">
                  <c:v>2012-13</c:v>
                </c:pt>
              </c:strCache>
            </c:strRef>
          </c:cat>
          <c:val>
            <c:numRef>
              <c:f>Sheet1!$D$2:$D$6</c:f>
              <c:numCache>
                <c:formatCode>General</c:formatCode>
                <c:ptCount val="5"/>
              </c:numCache>
            </c:numRef>
          </c:val>
        </c:ser>
        <c:dLbls>
          <c:dLblPos val="outEnd"/>
          <c:showLegendKey val="0"/>
          <c:showVal val="1"/>
          <c:showCatName val="0"/>
          <c:showSerName val="0"/>
          <c:showPercent val="0"/>
          <c:showBubbleSize val="0"/>
        </c:dLbls>
        <c:gapWidth val="219"/>
        <c:overlap val="43"/>
        <c:axId val="277409512"/>
        <c:axId val="277409904"/>
      </c:barChart>
      <c:catAx>
        <c:axId val="27740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409904"/>
        <c:crosses val="autoZero"/>
        <c:auto val="1"/>
        <c:lblAlgn val="ctr"/>
        <c:lblOffset val="100"/>
        <c:noMultiLvlLbl val="0"/>
      </c:catAx>
      <c:valAx>
        <c:axId val="277409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7409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Early Childhood Staff with Bachelor's Degrees</a:t>
            </a:r>
            <a:endParaRPr lang="en-US" sz="1000" baseline="0"/>
          </a:p>
          <a:p>
            <a:pPr>
              <a:defRPr/>
            </a:pPr>
            <a:r>
              <a:rPr lang="en-US" sz="1000" baseline="0"/>
              <a:t>Source: DCF, Office of Child Care Regulation and Background Screening</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2010</c:v>
                </c:pt>
                <c:pt idx="1">
                  <c:v>2011</c:v>
                </c:pt>
                <c:pt idx="2">
                  <c:v>2012</c:v>
                </c:pt>
                <c:pt idx="3">
                  <c:v>2013</c:v>
                </c:pt>
              </c:numCache>
            </c:numRef>
          </c:cat>
          <c:val>
            <c:numRef>
              <c:f>Sheet1!$B$2:$B$5</c:f>
              <c:numCache>
                <c:formatCode>0.0%</c:formatCode>
                <c:ptCount val="4"/>
                <c:pt idx="0">
                  <c:v>0.112</c:v>
                </c:pt>
                <c:pt idx="1">
                  <c:v>0.114</c:v>
                </c:pt>
                <c:pt idx="2">
                  <c:v>0.124</c:v>
                </c:pt>
                <c:pt idx="3">
                  <c:v>0.12</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2010</c:v>
                </c:pt>
                <c:pt idx="1">
                  <c:v>2011</c:v>
                </c:pt>
                <c:pt idx="2">
                  <c:v>2012</c:v>
                </c:pt>
                <c:pt idx="3">
                  <c:v>2013</c:v>
                </c:pt>
              </c:numCache>
            </c:numRef>
          </c:cat>
          <c:val>
            <c:numRef>
              <c:f>Sheet1!$C$2:$C$5</c:f>
              <c:numCache>
                <c:formatCode>General</c:formatCode>
                <c:ptCount val="4"/>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2010</c:v>
                </c:pt>
                <c:pt idx="1">
                  <c:v>2011</c:v>
                </c:pt>
                <c:pt idx="2">
                  <c:v>2012</c:v>
                </c:pt>
                <c:pt idx="3">
                  <c:v>2013</c:v>
                </c:pt>
              </c:numCache>
            </c:numRef>
          </c:cat>
          <c:val>
            <c:numRef>
              <c:f>Sheet1!$D$2:$D$5</c:f>
              <c:numCache>
                <c:formatCode>General</c:formatCode>
                <c:ptCount val="4"/>
              </c:numCache>
            </c:numRef>
          </c:val>
        </c:ser>
        <c:dLbls>
          <c:dLblPos val="outEnd"/>
          <c:showLegendKey val="0"/>
          <c:showVal val="1"/>
          <c:showCatName val="0"/>
          <c:showSerName val="0"/>
          <c:showPercent val="0"/>
          <c:showBubbleSize val="0"/>
        </c:dLbls>
        <c:gapWidth val="219"/>
        <c:overlap val="54"/>
        <c:axId val="278983736"/>
        <c:axId val="278984128"/>
      </c:barChart>
      <c:catAx>
        <c:axId val="278983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84128"/>
        <c:crosses val="autoZero"/>
        <c:auto val="1"/>
        <c:lblAlgn val="ctr"/>
        <c:lblOffset val="100"/>
        <c:noMultiLvlLbl val="0"/>
      </c:catAx>
      <c:valAx>
        <c:axId val="2789841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83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Children in Poverty</a:t>
            </a:r>
            <a:endParaRPr lang="en-US" sz="1000" baseline="0"/>
          </a:p>
          <a:p>
            <a:pPr>
              <a:defRPr/>
            </a:pPr>
            <a:r>
              <a:rPr lang="en-US" sz="1000" baseline="0"/>
              <a:t>Source: </a:t>
            </a:r>
            <a:r>
              <a:rPr lang="en-US" sz="1000" b="0" i="0" u="none" strike="noStrike" baseline="0">
                <a:effectLst/>
              </a:rPr>
              <a:t>KIDS COUNT (www.kidscount.org) </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2008</c:v>
                </c:pt>
                <c:pt idx="1">
                  <c:v>2009</c:v>
                </c:pt>
                <c:pt idx="2">
                  <c:v>2010</c:v>
                </c:pt>
                <c:pt idx="3">
                  <c:v>2011</c:v>
                </c:pt>
                <c:pt idx="4">
                  <c:v>2012</c:v>
                </c:pt>
              </c:numCache>
            </c:numRef>
          </c:cat>
          <c:val>
            <c:numRef>
              <c:f>Sheet1!$B$2:$B$6</c:f>
              <c:numCache>
                <c:formatCode>0.0%</c:formatCode>
                <c:ptCount val="5"/>
                <c:pt idx="0">
                  <c:v>0.18</c:v>
                </c:pt>
                <c:pt idx="1">
                  <c:v>0.21</c:v>
                </c:pt>
                <c:pt idx="2">
                  <c:v>0.23</c:v>
                </c:pt>
                <c:pt idx="3">
                  <c:v>0.25</c:v>
                </c:pt>
                <c:pt idx="4">
                  <c:v>0.25</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2008</c:v>
                </c:pt>
                <c:pt idx="1">
                  <c:v>2009</c:v>
                </c:pt>
                <c:pt idx="2">
                  <c:v>2010</c:v>
                </c:pt>
                <c:pt idx="3">
                  <c:v>2011</c:v>
                </c:pt>
                <c:pt idx="4">
                  <c:v>2012</c:v>
                </c:pt>
              </c:numCache>
            </c:num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2008</c:v>
                </c:pt>
                <c:pt idx="1">
                  <c:v>2009</c:v>
                </c:pt>
                <c:pt idx="2">
                  <c:v>2010</c:v>
                </c:pt>
                <c:pt idx="3">
                  <c:v>2011</c:v>
                </c:pt>
                <c:pt idx="4">
                  <c:v>2012</c:v>
                </c:pt>
              </c:numCache>
            </c:numRef>
          </c:cat>
          <c:val>
            <c:numRef>
              <c:f>Sheet1!$D$2:$D$6</c:f>
              <c:numCache>
                <c:formatCode>General</c:formatCode>
                <c:ptCount val="5"/>
              </c:numCache>
            </c:numRef>
          </c:val>
        </c:ser>
        <c:dLbls>
          <c:dLblPos val="outEnd"/>
          <c:showLegendKey val="0"/>
          <c:showVal val="1"/>
          <c:showCatName val="0"/>
          <c:showSerName val="0"/>
          <c:showPercent val="0"/>
          <c:showBubbleSize val="0"/>
        </c:dLbls>
        <c:gapWidth val="219"/>
        <c:overlap val="54"/>
        <c:axId val="278984912"/>
        <c:axId val="278985304"/>
      </c:barChart>
      <c:catAx>
        <c:axId val="27898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85304"/>
        <c:crosses val="autoZero"/>
        <c:auto val="1"/>
        <c:lblAlgn val="ctr"/>
        <c:lblOffset val="100"/>
        <c:noMultiLvlLbl val="0"/>
      </c:catAx>
      <c:valAx>
        <c:axId val="2789853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8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Children who are Maltreated</a:t>
            </a:r>
            <a:endParaRPr lang="en-US" sz="1000" baseline="0"/>
          </a:p>
          <a:p>
            <a:pPr>
              <a:defRPr/>
            </a:pPr>
            <a:r>
              <a:rPr lang="en-US" sz="1000" baseline="0"/>
              <a:t>Source: </a:t>
            </a:r>
            <a:r>
              <a:rPr lang="en-US" sz="1000" b="0" i="0" u="none" strike="noStrike" baseline="0">
                <a:effectLst/>
              </a:rPr>
              <a:t>DCF, Office of Child Welfare</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2009-10</c:v>
                </c:pt>
                <c:pt idx="1">
                  <c:v>2010-11</c:v>
                </c:pt>
                <c:pt idx="2">
                  <c:v>2011-12</c:v>
                </c:pt>
                <c:pt idx="3">
                  <c:v>2012-13</c:v>
                </c:pt>
                <c:pt idx="4">
                  <c:v>2013-14</c:v>
                </c:pt>
              </c:strCache>
            </c:strRef>
          </c:cat>
          <c:val>
            <c:numRef>
              <c:f>Sheet1!$B$2:$B$6</c:f>
              <c:numCache>
                <c:formatCode>0.00</c:formatCode>
                <c:ptCount val="5"/>
                <c:pt idx="0">
                  <c:v>12.06</c:v>
                </c:pt>
                <c:pt idx="1">
                  <c:v>12.51</c:v>
                </c:pt>
                <c:pt idx="2">
                  <c:v>13.23</c:v>
                </c:pt>
                <c:pt idx="3">
                  <c:v>12.27</c:v>
                </c:pt>
                <c:pt idx="4">
                  <c:v>11.42</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2009-10</c:v>
                </c:pt>
                <c:pt idx="1">
                  <c:v>2010-11</c:v>
                </c:pt>
                <c:pt idx="2">
                  <c:v>2011-12</c:v>
                </c:pt>
                <c:pt idx="3">
                  <c:v>2012-13</c:v>
                </c:pt>
                <c:pt idx="4">
                  <c:v>2013-14</c:v>
                </c:pt>
              </c:strCache>
            </c:str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2009-10</c:v>
                </c:pt>
                <c:pt idx="1">
                  <c:v>2010-11</c:v>
                </c:pt>
                <c:pt idx="2">
                  <c:v>2011-12</c:v>
                </c:pt>
                <c:pt idx="3">
                  <c:v>2012-13</c:v>
                </c:pt>
                <c:pt idx="4">
                  <c:v>2013-14</c:v>
                </c:pt>
              </c:strCache>
            </c:strRef>
          </c:cat>
          <c:val>
            <c:numRef>
              <c:f>Sheet1!$D$2:$D$6</c:f>
              <c:numCache>
                <c:formatCode>General</c:formatCode>
                <c:ptCount val="5"/>
              </c:numCache>
            </c:numRef>
          </c:val>
        </c:ser>
        <c:dLbls>
          <c:dLblPos val="outEnd"/>
          <c:showLegendKey val="0"/>
          <c:showVal val="1"/>
          <c:showCatName val="0"/>
          <c:showSerName val="0"/>
          <c:showPercent val="0"/>
          <c:showBubbleSize val="0"/>
        </c:dLbls>
        <c:gapWidth val="219"/>
        <c:overlap val="54"/>
        <c:axId val="278971840"/>
        <c:axId val="278972232"/>
      </c:barChart>
      <c:catAx>
        <c:axId val="27897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72232"/>
        <c:crosses val="autoZero"/>
        <c:auto val="1"/>
        <c:lblAlgn val="ctr"/>
        <c:lblOffset val="100"/>
        <c:noMultiLvlLbl val="0"/>
      </c:catAx>
      <c:valAx>
        <c:axId val="278972232"/>
        <c:scaling>
          <c:orientation val="minMax"/>
          <c:min val="10.5"/>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971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6615-D0FE-4831-A9EB-FAEFE259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Neidert</dc:creator>
  <cp:keywords/>
  <dc:description/>
  <cp:lastModifiedBy>Parson, Tim</cp:lastModifiedBy>
  <cp:revision>2</cp:revision>
  <cp:lastPrinted>2015-08-21T12:29:00Z</cp:lastPrinted>
  <dcterms:created xsi:type="dcterms:W3CDTF">2016-04-29T14:24:00Z</dcterms:created>
  <dcterms:modified xsi:type="dcterms:W3CDTF">2016-04-29T14:24:00Z</dcterms:modified>
</cp:coreProperties>
</file>